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46CCB">
      <w:pPr>
        <w:jc w:val="center"/>
        <w:rPr>
          <w:rFonts w:hint="eastAsia" w:hAnsi="宋体" w:cs="宋体"/>
          <w:b/>
          <w:sz w:val="44"/>
          <w:szCs w:val="48"/>
          <w:lang w:eastAsia="zh-CN"/>
        </w:rPr>
      </w:pPr>
    </w:p>
    <w:p w14:paraId="1B417447">
      <w:pPr>
        <w:pStyle w:val="4"/>
        <w:rPr>
          <w:rFonts w:hint="eastAsia" w:hAnsi="宋体" w:cs="宋体"/>
        </w:rPr>
      </w:pPr>
      <w:bookmarkStart w:id="0" w:name="_Toc325582573"/>
      <w:bookmarkStart w:id="1" w:name="_Toc325582068"/>
      <w:bookmarkStart w:id="2" w:name="_Toc356491324"/>
      <w:bookmarkStart w:id="3" w:name="_Toc356490385"/>
      <w:bookmarkStart w:id="4" w:name="_Toc323129564"/>
      <w:bookmarkStart w:id="5" w:name="_Toc325620720"/>
      <w:r>
        <w:rPr>
          <w:rFonts w:hint="eastAsia" w:hAnsi="宋体" w:cs="宋体"/>
          <w:lang w:val="en-US" w:eastAsia="zh-CN"/>
        </w:rPr>
        <w:t>第一部分：</w:t>
      </w:r>
      <w:r>
        <w:rPr>
          <w:rFonts w:hint="eastAsia" w:hAnsi="宋体" w:cs="宋体"/>
        </w:rPr>
        <w:t>评分细则：</w:t>
      </w:r>
    </w:p>
    <w:tbl>
      <w:tblPr>
        <w:tblStyle w:val="16"/>
        <w:tblW w:w="10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6"/>
        <w:gridCol w:w="1300"/>
        <w:gridCol w:w="6244"/>
        <w:gridCol w:w="1463"/>
      </w:tblGrid>
      <w:tr w14:paraId="0B4B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556" w:type="dxa"/>
            <w:vAlign w:val="center"/>
          </w:tcPr>
          <w:p w14:paraId="73FCE2E0">
            <w:pPr>
              <w:keepNext w:val="0"/>
              <w:keepLines w:val="0"/>
              <w:pageBreakBefore w:val="0"/>
              <w:widowControl w:val="0"/>
              <w:kinsoku/>
              <w:wordWrap/>
              <w:overflowPunct/>
              <w:topLinePunct w:val="0"/>
              <w:autoSpaceDE w:val="0"/>
              <w:autoSpaceDN w:val="0"/>
              <w:bidi w:val="0"/>
              <w:spacing w:line="360" w:lineRule="auto"/>
              <w:ind w:right="71"/>
              <w:jc w:val="center"/>
              <w:textAlignment w:val="auto"/>
              <w:rPr>
                <w:rFonts w:ascii="宋体" w:hAnsi="宋体"/>
                <w:b/>
                <w:bCs/>
                <w:color w:val="000000" w:themeColor="text1"/>
                <w:sz w:val="24"/>
                <w:szCs w:val="24"/>
                <w14:textFill>
                  <w14:solidFill>
                    <w14:schemeClr w14:val="tx1"/>
                  </w14:solidFill>
                </w14:textFill>
              </w:rPr>
            </w:pPr>
            <w:r>
              <w:rPr>
                <w:rFonts w:hint="eastAsia" w:hAnsi="宋体" w:cs="宋体"/>
                <w:kern w:val="0"/>
                <w:sz w:val="24"/>
              </w:rPr>
              <w:t>评分因素</w:t>
            </w:r>
          </w:p>
        </w:tc>
        <w:tc>
          <w:tcPr>
            <w:tcW w:w="1300" w:type="dxa"/>
            <w:vAlign w:val="center"/>
          </w:tcPr>
          <w:p w14:paraId="707FE4DA">
            <w:pPr>
              <w:keepNext w:val="0"/>
              <w:keepLines w:val="0"/>
              <w:pageBreakBefore w:val="0"/>
              <w:widowControl w:val="0"/>
              <w:kinsoku/>
              <w:wordWrap/>
              <w:overflowPunct/>
              <w:topLinePunct w:val="0"/>
              <w:autoSpaceDE w:val="0"/>
              <w:autoSpaceDN w:val="0"/>
              <w:bidi w:val="0"/>
              <w:spacing w:line="360" w:lineRule="auto"/>
              <w:ind w:right="71"/>
              <w:jc w:val="center"/>
              <w:textAlignment w:val="auto"/>
              <w:rPr>
                <w:rFonts w:ascii="宋体" w:hAnsi="宋体"/>
                <w:b/>
                <w:bCs/>
                <w:color w:val="000000" w:themeColor="text1"/>
                <w:sz w:val="24"/>
                <w:szCs w:val="24"/>
                <w14:textFill>
                  <w14:solidFill>
                    <w14:schemeClr w14:val="tx1"/>
                  </w14:solidFill>
                </w14:textFill>
              </w:rPr>
            </w:pPr>
            <w:r>
              <w:rPr>
                <w:rFonts w:ascii="宋体" w:hAnsi="宋体"/>
                <w:b/>
                <w:bCs/>
                <w:color w:val="000000" w:themeColor="text1"/>
                <w:sz w:val="24"/>
                <w:szCs w:val="24"/>
                <w14:textFill>
                  <w14:solidFill>
                    <w14:schemeClr w14:val="tx1"/>
                  </w14:solidFill>
                </w14:textFill>
              </w:rPr>
              <w:t>评标分项</w:t>
            </w:r>
          </w:p>
        </w:tc>
        <w:tc>
          <w:tcPr>
            <w:tcW w:w="6244" w:type="dxa"/>
            <w:vAlign w:val="center"/>
          </w:tcPr>
          <w:p w14:paraId="24C34126">
            <w:pPr>
              <w:keepNext w:val="0"/>
              <w:keepLines w:val="0"/>
              <w:pageBreakBefore w:val="0"/>
              <w:widowControl w:val="0"/>
              <w:kinsoku/>
              <w:wordWrap/>
              <w:overflowPunct/>
              <w:topLinePunct w:val="0"/>
              <w:autoSpaceDE w:val="0"/>
              <w:autoSpaceDN w:val="0"/>
              <w:bidi w:val="0"/>
              <w:spacing w:line="360" w:lineRule="auto"/>
              <w:ind w:right="71"/>
              <w:jc w:val="center"/>
              <w:textAlignment w:val="auto"/>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lang w:val="en-US" w:eastAsia="zh-CN"/>
                <w14:textFill>
                  <w14:solidFill>
                    <w14:schemeClr w14:val="tx1"/>
                  </w14:solidFill>
                </w14:textFill>
              </w:rPr>
              <w:t>说明</w:t>
            </w:r>
          </w:p>
        </w:tc>
        <w:tc>
          <w:tcPr>
            <w:tcW w:w="1463" w:type="dxa"/>
            <w:vAlign w:val="center"/>
          </w:tcPr>
          <w:p w14:paraId="3AC93B6B">
            <w:pPr>
              <w:keepNext w:val="0"/>
              <w:keepLines w:val="0"/>
              <w:pageBreakBefore w:val="0"/>
              <w:widowControl w:val="0"/>
              <w:kinsoku/>
              <w:wordWrap/>
              <w:overflowPunct/>
              <w:topLinePunct w:val="0"/>
              <w:autoSpaceDE w:val="0"/>
              <w:autoSpaceDN w:val="0"/>
              <w:bidi w:val="0"/>
              <w:spacing w:line="360" w:lineRule="auto"/>
              <w:ind w:right="71" w:rightChars="0"/>
              <w:jc w:val="center"/>
              <w:textAlignment w:val="auto"/>
              <w:rPr>
                <w:rFonts w:hint="eastAsia" w:ascii="宋体" w:hAnsi="宋体"/>
                <w:b/>
                <w:bCs/>
                <w:color w:val="000000" w:themeColor="text1"/>
                <w:sz w:val="24"/>
                <w:szCs w:val="24"/>
                <w:lang w:val="en-US" w:eastAsia="zh-CN"/>
                <w14:textFill>
                  <w14:solidFill>
                    <w14:schemeClr w14:val="tx1"/>
                  </w14:solidFill>
                </w14:textFill>
              </w:rPr>
            </w:pPr>
            <w:r>
              <w:rPr>
                <w:rFonts w:ascii="宋体" w:hAnsi="宋体"/>
                <w:b/>
                <w:bCs/>
                <w:color w:val="000000" w:themeColor="text1"/>
                <w:sz w:val="24"/>
                <w:szCs w:val="24"/>
                <w14:textFill>
                  <w14:solidFill>
                    <w14:schemeClr w14:val="tx1"/>
                  </w14:solidFill>
                </w14:textFill>
              </w:rPr>
              <w:t>分值</w:t>
            </w:r>
          </w:p>
        </w:tc>
      </w:tr>
      <w:tr w14:paraId="35B8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jc w:val="center"/>
        </w:trPr>
        <w:tc>
          <w:tcPr>
            <w:tcW w:w="1556" w:type="dxa"/>
            <w:vAlign w:val="center"/>
          </w:tcPr>
          <w:p w14:paraId="5309F9A1">
            <w:pPr>
              <w:adjustRightInd w:val="0"/>
              <w:snapToGrid w:val="0"/>
              <w:spacing w:line="360" w:lineRule="auto"/>
              <w:jc w:val="center"/>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价格</w:t>
            </w:r>
            <w:r>
              <w:rPr>
                <w:rFonts w:hint="eastAsia"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lang w:val="en-US" w:eastAsia="zh-CN"/>
                <w14:textFill>
                  <w14:solidFill>
                    <w14:schemeClr w14:val="tx1"/>
                  </w14:solidFill>
                </w14:textFill>
              </w:rPr>
              <w:t>20</w:t>
            </w:r>
            <w:r>
              <w:rPr>
                <w:rFonts w:hint="eastAsia" w:ascii="宋体" w:hAnsi="宋体"/>
                <w:color w:val="000000" w:themeColor="text1"/>
                <w:sz w:val="24"/>
                <w:szCs w:val="24"/>
                <w14:textFill>
                  <w14:solidFill>
                    <w14:schemeClr w14:val="tx1"/>
                  </w14:solidFill>
                </w14:textFill>
              </w:rPr>
              <w:t>分)</w:t>
            </w:r>
          </w:p>
        </w:tc>
        <w:tc>
          <w:tcPr>
            <w:tcW w:w="1300" w:type="dxa"/>
            <w:tcBorders>
              <w:bottom w:val="single" w:color="auto" w:sz="4" w:space="0"/>
            </w:tcBorders>
            <w:vAlign w:val="center"/>
          </w:tcPr>
          <w:p w14:paraId="4BE6B4FF">
            <w:pPr>
              <w:autoSpaceDE w:val="0"/>
              <w:autoSpaceDN w:val="0"/>
              <w:adjustRightInd w:val="0"/>
              <w:snapToGrid w:val="0"/>
              <w:spacing w:line="360" w:lineRule="auto"/>
              <w:ind w:right="7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w:t>
            </w:r>
            <w:r>
              <w:rPr>
                <w:rFonts w:ascii="宋体" w:hAnsi="宋体"/>
                <w:color w:val="000000" w:themeColor="text1"/>
                <w:sz w:val="24"/>
                <w:szCs w:val="24"/>
                <w14:textFill>
                  <w14:solidFill>
                    <w14:schemeClr w14:val="tx1"/>
                  </w14:solidFill>
                </w14:textFill>
              </w:rPr>
              <w:t>报价</w:t>
            </w:r>
          </w:p>
        </w:tc>
        <w:tc>
          <w:tcPr>
            <w:tcW w:w="6244" w:type="dxa"/>
            <w:vAlign w:val="center"/>
          </w:tcPr>
          <w:p w14:paraId="4B875CC7">
            <w:pPr>
              <w:autoSpaceDE w:val="0"/>
              <w:autoSpaceDN w:val="0"/>
              <w:adjustRightInd w:val="0"/>
              <w:snapToGrid w:val="0"/>
              <w:spacing w:line="360" w:lineRule="auto"/>
              <w:ind w:right="71"/>
              <w:jc w:val="left"/>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(1)投标报价满分为百分制的</w:t>
            </w:r>
            <w:r>
              <w:rPr>
                <w:rFonts w:hint="eastAsia" w:ascii="宋体" w:hAnsi="宋体"/>
                <w:color w:val="000000" w:themeColor="text1"/>
                <w:sz w:val="24"/>
                <w:szCs w:val="24"/>
                <w:lang w:val="en-US" w:eastAsia="zh-CN"/>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0分</w:t>
            </w:r>
            <w:r>
              <w:rPr>
                <w:rFonts w:hint="eastAsia" w:ascii="宋体" w:hAnsi="宋体"/>
                <w:color w:val="000000" w:themeColor="text1"/>
                <w:sz w:val="24"/>
                <w:szCs w:val="24"/>
                <w:lang w:eastAsia="zh-CN"/>
                <w14:textFill>
                  <w14:solidFill>
                    <w14:schemeClr w14:val="tx1"/>
                  </w14:solidFill>
                </w14:textFill>
              </w:rPr>
              <w:t>。</w:t>
            </w:r>
          </w:p>
          <w:p w14:paraId="659B0941">
            <w:pPr>
              <w:autoSpaceDE w:val="0"/>
              <w:autoSpaceDN w:val="0"/>
              <w:adjustRightInd w:val="0"/>
              <w:snapToGrid w:val="0"/>
              <w:spacing w:line="360" w:lineRule="auto"/>
              <w:ind w:right="71"/>
              <w:jc w:val="left"/>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(2)投标报价指投标人的相对前附表所规定基准价的折扣率</w:t>
            </w:r>
            <w:r>
              <w:rPr>
                <w:rFonts w:hint="eastAsia" w:ascii="宋体" w:hAnsi="宋体"/>
                <w:color w:val="000000" w:themeColor="text1"/>
                <w:sz w:val="24"/>
                <w:szCs w:val="24"/>
                <w:lang w:eastAsia="zh-CN"/>
                <w14:textFill>
                  <w14:solidFill>
                    <w14:schemeClr w14:val="tx1"/>
                  </w14:solidFill>
                </w14:textFill>
              </w:rPr>
              <w:t>。</w:t>
            </w:r>
          </w:p>
          <w:p w14:paraId="606A71F9">
            <w:pPr>
              <w:autoSpaceDE w:val="0"/>
              <w:autoSpaceDN w:val="0"/>
              <w:adjustRightInd w:val="0"/>
              <w:snapToGrid w:val="0"/>
              <w:spacing w:line="360" w:lineRule="auto"/>
              <w:ind w:right="71"/>
              <w:jc w:val="left"/>
              <w:rPr>
                <w:rFonts w:hint="eastAsia"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w:t>
            </w:r>
            <w:r>
              <w:rPr>
                <w:rFonts w:hint="eastAsia" w:cs="宋体"/>
                <w:color w:val="000000" w:themeColor="text1"/>
                <w:sz w:val="24"/>
                <w:szCs w:val="24"/>
                <w:highlight w:val="none"/>
                <w14:textFill>
                  <w14:solidFill>
                    <w14:schemeClr w14:val="tx1"/>
                  </w14:solidFill>
                </w14:textFill>
              </w:rPr>
              <w:t>评标委员会只对符合性审查合格的投标文件进行价格评议，报价分采用低价优先法计算，即满足招标文件要求且投标价格</w:t>
            </w:r>
            <w:r>
              <w:rPr>
                <w:rFonts w:hint="eastAsia" w:cs="宋体"/>
                <w:b/>
                <w:color w:val="000000" w:themeColor="text1"/>
                <w:sz w:val="24"/>
                <w:szCs w:val="24"/>
                <w:highlight w:val="none"/>
                <w14:textFill>
                  <w14:solidFill>
                    <w14:schemeClr w14:val="tx1"/>
                  </w14:solidFill>
                </w14:textFill>
              </w:rPr>
              <w:t>（落实政府采购政策进行价格调整的，以调整后的价格计算）</w:t>
            </w:r>
            <w:r>
              <w:rPr>
                <w:rFonts w:hint="eastAsia" w:cs="宋体"/>
                <w:color w:val="000000" w:themeColor="text1"/>
                <w:sz w:val="24"/>
                <w:szCs w:val="24"/>
                <w:highlight w:val="none"/>
                <w14:textFill>
                  <w14:solidFill>
                    <w14:schemeClr w14:val="tx1"/>
                  </w14:solidFill>
                </w14:textFill>
              </w:rPr>
              <w:t>最低的投标报价为评标基准价，其价格分为满分。其他投标人的价格分按照下列公式计算：报价得分=(评标基准价／投标报价)×</w:t>
            </w:r>
            <w:r>
              <w:rPr>
                <w:rFonts w:hint="eastAsia" w:cs="宋体"/>
                <w:color w:val="000000" w:themeColor="text1"/>
                <w:sz w:val="24"/>
                <w:szCs w:val="24"/>
                <w:highlight w:val="none"/>
                <w:lang w:val="en-US" w:eastAsia="zh-CN"/>
                <w14:textFill>
                  <w14:solidFill>
                    <w14:schemeClr w14:val="tx1"/>
                  </w14:solidFill>
                </w14:textFill>
              </w:rPr>
              <w:t>20</w:t>
            </w:r>
            <w:r>
              <w:rPr>
                <w:rFonts w:hint="eastAsia" w:cs="宋体"/>
                <w:bCs/>
                <w:color w:val="000000" w:themeColor="text1"/>
                <w:sz w:val="24"/>
                <w:szCs w:val="24"/>
                <w:highlight w:val="none"/>
                <w14:textFill>
                  <w14:solidFill>
                    <w14:schemeClr w14:val="tx1"/>
                  </w14:solidFill>
                </w14:textFill>
              </w:rPr>
              <w:t>分</w:t>
            </w:r>
          </w:p>
        </w:tc>
        <w:tc>
          <w:tcPr>
            <w:tcW w:w="1463" w:type="dxa"/>
            <w:vAlign w:val="center"/>
          </w:tcPr>
          <w:p w14:paraId="34DAB8F5">
            <w:pPr>
              <w:autoSpaceDE w:val="0"/>
              <w:autoSpaceDN w:val="0"/>
              <w:adjustRightInd w:val="0"/>
              <w:snapToGrid w:val="0"/>
              <w:spacing w:line="360" w:lineRule="auto"/>
              <w:ind w:right="71" w:rightChars="0"/>
              <w:jc w:val="cente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0</w:t>
            </w:r>
            <w:r>
              <w:rPr>
                <w:rFonts w:ascii="宋体" w:hAnsi="宋体"/>
                <w:color w:val="000000" w:themeColor="text1"/>
                <w:sz w:val="24"/>
                <w:szCs w:val="24"/>
                <w14:textFill>
                  <w14:solidFill>
                    <w14:schemeClr w14:val="tx1"/>
                  </w14:solidFill>
                </w14:textFill>
              </w:rPr>
              <w:t>分</w:t>
            </w:r>
          </w:p>
        </w:tc>
      </w:tr>
      <w:tr w14:paraId="4681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56" w:type="dxa"/>
            <w:vMerge w:val="restart"/>
            <w:vAlign w:val="center"/>
          </w:tcPr>
          <w:p w14:paraId="3CF76DA0">
            <w:pPr>
              <w:adjustRightInd w:val="0"/>
              <w:snapToGrid w:val="0"/>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商务 (</w:t>
            </w:r>
            <w:r>
              <w:rPr>
                <w:rFonts w:hint="eastAsia" w:ascii="宋体" w:hAnsi="宋体"/>
                <w:color w:val="000000" w:themeColor="text1"/>
                <w:sz w:val="24"/>
                <w:szCs w:val="24"/>
                <w:lang w:val="en-US" w:eastAsia="zh-CN"/>
                <w14:textFill>
                  <w14:solidFill>
                    <w14:schemeClr w14:val="tx1"/>
                  </w14:solidFill>
                </w14:textFill>
              </w:rPr>
              <w:t>30</w:t>
            </w:r>
            <w:r>
              <w:rPr>
                <w:rFonts w:hint="eastAsia" w:ascii="宋体" w:hAnsi="宋体"/>
                <w:color w:val="000000" w:themeColor="text1"/>
                <w:sz w:val="24"/>
                <w:szCs w:val="24"/>
                <w14:textFill>
                  <w14:solidFill>
                    <w14:schemeClr w14:val="tx1"/>
                  </w14:solidFill>
                </w14:textFill>
              </w:rPr>
              <w:t>分)</w:t>
            </w:r>
          </w:p>
        </w:tc>
        <w:tc>
          <w:tcPr>
            <w:tcW w:w="1300" w:type="dxa"/>
            <w:tcBorders>
              <w:top w:val="single" w:color="auto" w:sz="4" w:space="0"/>
            </w:tcBorders>
            <w:vAlign w:val="center"/>
          </w:tcPr>
          <w:p w14:paraId="2957F395">
            <w:pPr>
              <w:autoSpaceDE w:val="0"/>
              <w:autoSpaceDN w:val="0"/>
              <w:adjustRightInd w:val="0"/>
              <w:snapToGrid w:val="0"/>
              <w:spacing w:line="360" w:lineRule="auto"/>
              <w:ind w:right="7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质量</w:t>
            </w:r>
            <w:r>
              <w:rPr>
                <w:rFonts w:hint="eastAsia" w:ascii="宋体" w:hAnsi="宋体"/>
                <w:color w:val="000000" w:themeColor="text1"/>
                <w:sz w:val="24"/>
                <w:szCs w:val="24"/>
                <w:lang w:val="en-US" w:eastAsia="zh-CN"/>
                <w14:textFill>
                  <w14:solidFill>
                    <w14:schemeClr w14:val="tx1"/>
                  </w14:solidFill>
                </w14:textFill>
              </w:rPr>
              <w:t>体系</w:t>
            </w:r>
            <w:r>
              <w:rPr>
                <w:rFonts w:hint="eastAsia" w:ascii="宋体" w:hAnsi="宋体"/>
                <w:color w:val="000000" w:themeColor="text1"/>
                <w:sz w:val="24"/>
                <w:szCs w:val="24"/>
                <w14:textFill>
                  <w14:solidFill>
                    <w14:schemeClr w14:val="tx1"/>
                  </w14:solidFill>
                </w14:textFill>
              </w:rPr>
              <w:t>认证</w:t>
            </w:r>
          </w:p>
        </w:tc>
        <w:tc>
          <w:tcPr>
            <w:tcW w:w="6244" w:type="dxa"/>
            <w:vAlign w:val="center"/>
          </w:tcPr>
          <w:p w14:paraId="553D20C2">
            <w:pPr>
              <w:autoSpaceDE w:val="0"/>
              <w:autoSpaceDN w:val="0"/>
              <w:spacing w:line="360" w:lineRule="auto"/>
              <w:ind w:right="-31" w:rightChars="-11"/>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投标单位</w:t>
            </w:r>
            <w:r>
              <w:rPr>
                <w:rFonts w:ascii="宋体" w:hAnsi="宋体"/>
                <w:color w:val="000000" w:themeColor="text1"/>
                <w:sz w:val="24"/>
                <w:szCs w:val="24"/>
                <w14:textFill>
                  <w14:solidFill>
                    <w14:schemeClr w14:val="tx1"/>
                  </w14:solidFill>
                </w14:textFill>
              </w:rPr>
              <w:t>提供</w:t>
            </w:r>
            <w:r>
              <w:rPr>
                <w:rFonts w:hint="eastAsia" w:ascii="宋体" w:hAnsi="宋体" w:cs="宋体"/>
                <w:bCs/>
                <w:color w:val="000000" w:themeColor="text1"/>
                <w:sz w:val="24"/>
                <w:szCs w:val="24"/>
                <w14:textFill>
                  <w14:solidFill>
                    <w14:schemeClr w14:val="tx1"/>
                  </w14:solidFill>
                </w14:textFill>
              </w:rPr>
              <w:t>有效的</w:t>
            </w:r>
            <w:r>
              <w:rPr>
                <w:rFonts w:hint="eastAsia" w:cs="宋体"/>
                <w:color w:val="000000" w:themeColor="text1"/>
                <w:sz w:val="24"/>
                <w:szCs w:val="24"/>
                <w:highlight w:val="none"/>
                <w14:textFill>
                  <w14:solidFill>
                    <w14:schemeClr w14:val="tx1"/>
                  </w14:solidFill>
                </w14:textFill>
              </w:rPr>
              <w:t>ISO15189医学实验室质量和能力认可证书</w:t>
            </w:r>
            <w:r>
              <w:rPr>
                <w:rFonts w:hint="eastAsia" w:cs="宋体"/>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14:textFill>
                  <w14:solidFill>
                    <w14:schemeClr w14:val="tx1"/>
                  </w14:solidFill>
                </w14:textFill>
              </w:rPr>
              <w:t>ISO9001质量管理体系认证证书</w:t>
            </w:r>
            <w:r>
              <w:rPr>
                <w:rFonts w:hint="eastAsia" w:ascii="宋体" w:hAnsi="宋体" w:cs="宋体"/>
                <w:bCs/>
                <w:color w:val="000000" w:themeColor="text1"/>
                <w:sz w:val="24"/>
                <w:szCs w:val="24"/>
                <w14:textFill>
                  <w14:solidFill>
                    <w14:schemeClr w14:val="tx1"/>
                  </w14:solidFill>
                </w14:textFill>
              </w:rPr>
              <w:t>、</w:t>
            </w:r>
            <w:r>
              <w:rPr>
                <w:rFonts w:ascii="宋体" w:hAnsi="宋体" w:cs="宋体"/>
                <w:bCs/>
                <w:color w:val="000000" w:themeColor="text1"/>
                <w:sz w:val="24"/>
                <w:szCs w:val="24"/>
                <w14:textFill>
                  <w14:solidFill>
                    <w14:schemeClr w14:val="tx1"/>
                  </w14:solidFill>
                </w14:textFill>
              </w:rPr>
              <w:t>ISO14001环境</w:t>
            </w:r>
            <w:r>
              <w:rPr>
                <w:rFonts w:hint="eastAsia" w:ascii="宋体" w:hAnsi="宋体" w:cs="宋体"/>
                <w:bCs/>
                <w:color w:val="000000" w:themeColor="text1"/>
                <w:sz w:val="24"/>
                <w:szCs w:val="24"/>
                <w14:textFill>
                  <w14:solidFill>
                    <w14:schemeClr w14:val="tx1"/>
                  </w14:solidFill>
                </w14:textFill>
              </w:rPr>
              <w:t>管理体系认证证书、ISO45001</w:t>
            </w:r>
            <w:r>
              <w:rPr>
                <w:rFonts w:ascii="宋体" w:hAnsi="宋体" w:cs="宋体"/>
                <w:bCs/>
                <w:color w:val="000000" w:themeColor="text1"/>
                <w:sz w:val="24"/>
                <w:szCs w:val="24"/>
                <w14:textFill>
                  <w14:solidFill>
                    <w14:schemeClr w14:val="tx1"/>
                  </w14:solidFill>
                </w14:textFill>
              </w:rPr>
              <w:t>职业健康安全管理体系认证证书</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得</w:t>
            </w:r>
            <w:r>
              <w:rPr>
                <w:rFonts w:hint="eastAsia" w:ascii="宋体" w:hAnsi="宋体"/>
                <w:color w:val="000000" w:themeColor="text1"/>
                <w:sz w:val="24"/>
                <w:szCs w:val="24"/>
                <w:lang w:val="en-US" w:eastAsia="zh-CN"/>
                <w14:textFill>
                  <w14:solidFill>
                    <w14:schemeClr w14:val="tx1"/>
                  </w14:solidFill>
                </w14:textFill>
              </w:rPr>
              <w:t>8</w:t>
            </w:r>
            <w:r>
              <w:rPr>
                <w:rFonts w:hint="eastAsia" w:ascii="宋体" w:hAnsi="宋体"/>
                <w:color w:val="000000" w:themeColor="text1"/>
                <w:sz w:val="24"/>
                <w:szCs w:val="24"/>
                <w14:textFill>
                  <w14:solidFill>
                    <w14:schemeClr w14:val="tx1"/>
                  </w14:solidFill>
                </w14:textFill>
              </w:rPr>
              <w:t>分，不满足</w:t>
            </w:r>
            <w:r>
              <w:rPr>
                <w:rFonts w:ascii="宋体" w:hAnsi="宋体"/>
                <w:color w:val="000000" w:themeColor="text1"/>
                <w:sz w:val="24"/>
                <w:szCs w:val="24"/>
                <w14:textFill>
                  <w14:solidFill>
                    <w14:schemeClr w14:val="tx1"/>
                  </w14:solidFill>
                </w14:textFill>
              </w:rPr>
              <w:t>不得分。</w:t>
            </w:r>
            <w:r>
              <w:rPr>
                <w:rFonts w:hint="eastAsia" w:eastAsia="宋体" w:cs="宋体"/>
                <w:b/>
                <w:color w:val="000000" w:themeColor="text1"/>
                <w:sz w:val="24"/>
                <w:szCs w:val="24"/>
                <w:highlight w:val="none"/>
                <w14:textFill>
                  <w14:solidFill>
                    <w14:schemeClr w14:val="tx1"/>
                  </w14:solidFill>
                </w14:textFill>
              </w:rPr>
              <w:t>（提供证书清晰影印件并加盖公章）。</w:t>
            </w:r>
          </w:p>
        </w:tc>
        <w:tc>
          <w:tcPr>
            <w:tcW w:w="1463" w:type="dxa"/>
            <w:vAlign w:val="center"/>
          </w:tcPr>
          <w:p w14:paraId="31F568D4">
            <w:pPr>
              <w:autoSpaceDE w:val="0"/>
              <w:autoSpaceDN w:val="0"/>
              <w:adjustRightInd w:val="0"/>
              <w:snapToGrid w:val="0"/>
              <w:spacing w:line="360" w:lineRule="auto"/>
              <w:ind w:right="71" w:rightChars="0"/>
              <w:jc w:val="center"/>
              <w:rPr>
                <w:rFonts w:hint="eastAsia"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8</w:t>
            </w:r>
            <w:r>
              <w:rPr>
                <w:rFonts w:hint="eastAsia" w:ascii="宋体" w:hAnsi="宋体"/>
                <w:color w:val="000000" w:themeColor="text1"/>
                <w:sz w:val="24"/>
                <w:szCs w:val="24"/>
                <w14:textFill>
                  <w14:solidFill>
                    <w14:schemeClr w14:val="tx1"/>
                  </w14:solidFill>
                </w14:textFill>
              </w:rPr>
              <w:t>分</w:t>
            </w:r>
          </w:p>
        </w:tc>
      </w:tr>
      <w:tr w14:paraId="7A0A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556" w:type="dxa"/>
            <w:vMerge w:val="continue"/>
            <w:vAlign w:val="center"/>
          </w:tcPr>
          <w:p w14:paraId="087F8C95">
            <w:pPr>
              <w:adjustRightInd w:val="0"/>
              <w:snapToGrid w:val="0"/>
              <w:spacing w:line="360" w:lineRule="auto"/>
              <w:jc w:val="center"/>
              <w:rPr>
                <w:rFonts w:ascii="宋体" w:hAnsi="宋体"/>
                <w:color w:val="000000" w:themeColor="text1"/>
                <w:sz w:val="24"/>
                <w:szCs w:val="24"/>
                <w14:textFill>
                  <w14:solidFill>
                    <w14:schemeClr w14:val="tx1"/>
                  </w14:solidFill>
                </w14:textFill>
              </w:rPr>
            </w:pPr>
          </w:p>
        </w:tc>
        <w:tc>
          <w:tcPr>
            <w:tcW w:w="1300" w:type="dxa"/>
            <w:vAlign w:val="center"/>
          </w:tcPr>
          <w:p w14:paraId="47A06984">
            <w:pPr>
              <w:autoSpaceDE w:val="0"/>
              <w:autoSpaceDN w:val="0"/>
              <w:adjustRightInd w:val="0"/>
              <w:snapToGrid w:val="0"/>
              <w:spacing w:line="360" w:lineRule="auto"/>
              <w:ind w:right="71"/>
              <w:jc w:val="cente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专利证明</w:t>
            </w:r>
          </w:p>
        </w:tc>
        <w:tc>
          <w:tcPr>
            <w:tcW w:w="6244" w:type="dxa"/>
            <w:vAlign w:val="center"/>
          </w:tcPr>
          <w:p w14:paraId="705970C4">
            <w:pPr>
              <w:numPr>
                <w:ilvl w:val="0"/>
                <w:numId w:val="0"/>
              </w:numPr>
              <w:overflowPunct w:val="0"/>
              <w:topLinePunct/>
              <w:autoSpaceDN w:val="0"/>
              <w:adjustRightInd w:val="0"/>
              <w:snapToGrid w:val="0"/>
              <w:spacing w:line="360" w:lineRule="auto"/>
              <w:ind w:left="0" w:leftChars="0" w:firstLine="0" w:firstLineChars="0"/>
              <w:rPr>
                <w:rFonts w:ascii="宋体" w:hAnsi="宋体"/>
                <w:color w:val="000000" w:themeColor="text1"/>
                <w:sz w:val="24"/>
                <w:szCs w:val="24"/>
                <w14:textFill>
                  <w14:solidFill>
                    <w14:schemeClr w14:val="tx1"/>
                  </w14:solidFill>
                </w14:textFill>
              </w:rPr>
            </w:pPr>
            <w:r>
              <w:rPr>
                <w:rFonts w:hint="eastAsia" w:eastAsia="宋体" w:cs="宋体"/>
                <w:color w:val="000000" w:themeColor="text1"/>
                <w:sz w:val="24"/>
                <w:szCs w:val="24"/>
                <w:highlight w:val="none"/>
                <w:lang w:val="en-US" w:eastAsia="zh-CN"/>
                <w14:textFill>
                  <w14:solidFill>
                    <w14:schemeClr w14:val="tx1"/>
                  </w14:solidFill>
                </w14:textFill>
              </w:rPr>
              <w:t>人工智能软件</w:t>
            </w:r>
            <w:r>
              <w:rPr>
                <w:rFonts w:hint="default" w:eastAsia="宋体" w:cs="宋体"/>
                <w:color w:val="000000" w:themeColor="text1"/>
                <w:sz w:val="24"/>
                <w:szCs w:val="24"/>
                <w:highlight w:val="none"/>
                <w:lang w:val="en-US" w:eastAsia="zh-CN"/>
                <w14:textFill>
                  <w14:solidFill>
                    <w14:schemeClr w14:val="tx1"/>
                  </w14:solidFill>
                </w14:textFill>
              </w:rPr>
              <w:t>全自主研发，并取得国家发明专利。</w:t>
            </w:r>
            <w:r>
              <w:rPr>
                <w:rFonts w:hint="eastAsia" w:eastAsia="宋体" w:cs="宋体"/>
                <w:color w:val="000000" w:themeColor="text1"/>
                <w:sz w:val="24"/>
                <w:szCs w:val="24"/>
                <w:highlight w:val="none"/>
                <w:lang w:val="en-US" w:eastAsia="zh-CN"/>
                <w14:textFill>
                  <w14:solidFill>
                    <w14:schemeClr w14:val="tx1"/>
                  </w14:solidFill>
                </w14:textFill>
              </w:rPr>
              <w:t>提供专利证明文件，</w:t>
            </w:r>
            <w:r>
              <w:rPr>
                <w:rFonts w:hint="eastAsia" w:eastAsia="宋体" w:cs="宋体"/>
                <w:color w:val="000000" w:themeColor="text1"/>
                <w:sz w:val="24"/>
                <w:szCs w:val="24"/>
                <w:highlight w:val="none"/>
                <w14:textFill>
                  <w14:solidFill>
                    <w14:schemeClr w14:val="tx1"/>
                  </w14:solidFill>
                </w14:textFill>
              </w:rPr>
              <w:t>得</w:t>
            </w:r>
            <w:r>
              <w:rPr>
                <w:rFonts w:hint="eastAsia" w:eastAsia="宋体" w:cs="宋体"/>
                <w:color w:val="000000" w:themeColor="text1"/>
                <w:sz w:val="24"/>
                <w:szCs w:val="24"/>
                <w:highlight w:val="none"/>
                <w:lang w:val="en-US" w:eastAsia="zh-CN"/>
                <w14:textFill>
                  <w14:solidFill>
                    <w14:schemeClr w14:val="tx1"/>
                  </w14:solidFill>
                </w14:textFill>
              </w:rPr>
              <w:t>2</w:t>
            </w:r>
            <w:r>
              <w:rPr>
                <w:rFonts w:hint="eastAsia" w:eastAsia="宋体" w:cs="宋体"/>
                <w:color w:val="000000" w:themeColor="text1"/>
                <w:sz w:val="24"/>
                <w:szCs w:val="24"/>
                <w:highlight w:val="none"/>
                <w14:textFill>
                  <w14:solidFill>
                    <w14:schemeClr w14:val="tx1"/>
                  </w14:solidFill>
                </w14:textFill>
              </w:rPr>
              <w:t>分，不满足不得分。</w:t>
            </w:r>
          </w:p>
        </w:tc>
        <w:tc>
          <w:tcPr>
            <w:tcW w:w="1463" w:type="dxa"/>
            <w:vAlign w:val="center"/>
          </w:tcPr>
          <w:p w14:paraId="1C0E7C86">
            <w:pPr>
              <w:autoSpaceDE w:val="0"/>
              <w:autoSpaceDN w:val="0"/>
              <w:adjustRightInd w:val="0"/>
              <w:snapToGrid w:val="0"/>
              <w:spacing w:line="360" w:lineRule="auto"/>
              <w:ind w:right="71" w:rightChars="0"/>
              <w:jc w:val="center"/>
              <w:rPr>
                <w:rFonts w:hint="eastAsia" w:eastAsia="宋体" w:cs="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分</w:t>
            </w:r>
          </w:p>
        </w:tc>
      </w:tr>
      <w:tr w14:paraId="6C1C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1556" w:type="dxa"/>
            <w:vMerge w:val="continue"/>
            <w:vAlign w:val="center"/>
          </w:tcPr>
          <w:p w14:paraId="255EAA3C">
            <w:pPr>
              <w:adjustRightInd w:val="0"/>
              <w:snapToGrid w:val="0"/>
              <w:spacing w:line="360" w:lineRule="auto"/>
              <w:jc w:val="center"/>
              <w:rPr>
                <w:rFonts w:ascii="宋体" w:hAnsi="宋体"/>
                <w:color w:val="000000" w:themeColor="text1"/>
                <w:sz w:val="24"/>
                <w:szCs w:val="24"/>
                <w14:textFill>
                  <w14:solidFill>
                    <w14:schemeClr w14:val="tx1"/>
                  </w14:solidFill>
                </w14:textFill>
              </w:rPr>
            </w:pPr>
          </w:p>
        </w:tc>
        <w:tc>
          <w:tcPr>
            <w:tcW w:w="1300" w:type="dxa"/>
            <w:vAlign w:val="center"/>
          </w:tcPr>
          <w:p w14:paraId="6E7635A8">
            <w:pPr>
              <w:autoSpaceDE w:val="0"/>
              <w:autoSpaceDN w:val="0"/>
              <w:adjustRightInd w:val="0"/>
              <w:snapToGrid w:val="0"/>
              <w:spacing w:line="360" w:lineRule="auto"/>
              <w:ind w:right="71"/>
              <w:jc w:val="cente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类似业绩</w:t>
            </w:r>
          </w:p>
        </w:tc>
        <w:tc>
          <w:tcPr>
            <w:tcW w:w="6244" w:type="dxa"/>
            <w:vAlign w:val="center"/>
          </w:tcPr>
          <w:p w14:paraId="72E46952">
            <w:pPr>
              <w:autoSpaceDE w:val="0"/>
              <w:autoSpaceDN w:val="0"/>
              <w:adjustRightInd w:val="0"/>
              <w:snapToGrid w:val="0"/>
              <w:spacing w:line="360" w:lineRule="auto"/>
              <w:ind w:right="71"/>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投标人具有2</w:t>
            </w:r>
            <w:r>
              <w:rPr>
                <w:rFonts w:ascii="宋体" w:hAnsi="宋体"/>
                <w:color w:val="000000" w:themeColor="text1"/>
                <w:sz w:val="24"/>
                <w:szCs w:val="24"/>
                <w14:textFill>
                  <w14:solidFill>
                    <w14:schemeClr w14:val="tx1"/>
                  </w14:solidFill>
                </w14:textFill>
              </w:rPr>
              <w:t>0</w:t>
            </w:r>
            <w:r>
              <w:rPr>
                <w:rFonts w:hint="eastAsia" w:ascii="宋体" w:hAnsi="宋体"/>
                <w:color w:val="000000" w:themeColor="text1"/>
                <w:sz w:val="24"/>
                <w:szCs w:val="24"/>
                <w:lang w:val="en-US" w:eastAsia="zh-CN"/>
                <w14:textFill>
                  <w14:solidFill>
                    <w14:schemeClr w14:val="tx1"/>
                  </w14:solidFill>
                </w14:textFill>
              </w:rPr>
              <w:t>23</w:t>
            </w:r>
            <w:r>
              <w:rPr>
                <w:rFonts w:hint="eastAsia" w:ascii="宋体" w:hAnsi="宋体"/>
                <w:color w:val="000000" w:themeColor="text1"/>
                <w:sz w:val="24"/>
                <w:szCs w:val="24"/>
                <w14:textFill>
                  <w14:solidFill>
                    <w14:schemeClr w14:val="tx1"/>
                  </w14:solidFill>
                </w14:textFill>
              </w:rPr>
              <w:t>年</w:t>
            </w:r>
            <w:r>
              <w:rPr>
                <w:rFonts w:hint="eastAsia" w:ascii="宋体" w:hAnsi="宋体"/>
                <w:color w:val="000000" w:themeColor="text1"/>
                <w:sz w:val="24"/>
                <w:szCs w:val="24"/>
                <w:lang w:val="en-US" w:eastAsia="zh-CN"/>
                <w14:textFill>
                  <w14:solidFill>
                    <w14:schemeClr w14:val="tx1"/>
                  </w14:solidFill>
                </w14:textFill>
              </w:rPr>
              <w:t>7</w:t>
            </w:r>
            <w:r>
              <w:rPr>
                <w:rFonts w:hint="eastAsia" w:ascii="宋体" w:hAnsi="宋体"/>
                <w:color w:val="000000" w:themeColor="text1"/>
                <w:sz w:val="24"/>
                <w:szCs w:val="24"/>
                <w14:textFill>
                  <w14:solidFill>
                    <w14:schemeClr w14:val="tx1"/>
                  </w14:solidFill>
                </w14:textFill>
              </w:rPr>
              <w:t>月</w:t>
            </w:r>
            <w:r>
              <w:rPr>
                <w:rFonts w:ascii="宋体" w:hAnsi="宋体"/>
                <w:color w:val="000000" w:themeColor="text1"/>
                <w:sz w:val="24"/>
                <w:szCs w:val="24"/>
                <w14:textFill>
                  <w14:solidFill>
                    <w14:schemeClr w14:val="tx1"/>
                  </w14:solidFill>
                </w14:textFill>
              </w:rPr>
              <w:t>至</w:t>
            </w:r>
            <w:r>
              <w:rPr>
                <w:rFonts w:hint="eastAsia" w:ascii="宋体" w:hAnsi="宋体"/>
                <w:color w:val="000000" w:themeColor="text1"/>
                <w:sz w:val="24"/>
                <w:szCs w:val="24"/>
                <w14:textFill>
                  <w14:solidFill>
                    <w14:schemeClr w14:val="tx1"/>
                  </w14:solidFill>
                </w14:textFill>
              </w:rPr>
              <w:t>今</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承接过</w:t>
            </w:r>
            <w:r>
              <w:rPr>
                <w:rFonts w:ascii="宋体" w:hAnsi="宋体"/>
                <w:color w:val="000000" w:themeColor="text1"/>
                <w:sz w:val="24"/>
                <w:szCs w:val="24"/>
                <w14:textFill>
                  <w14:solidFill>
                    <w14:schemeClr w14:val="tx1"/>
                  </w14:solidFill>
                </w14:textFill>
              </w:rPr>
              <w:t>的类似项目业绩</w:t>
            </w: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每提供一份</w:t>
            </w:r>
            <w:r>
              <w:rPr>
                <w:rFonts w:hint="eastAsia" w:ascii="宋体" w:hAnsi="宋体"/>
                <w:color w:val="000000" w:themeColor="text1"/>
                <w:sz w:val="24"/>
                <w:szCs w:val="24"/>
                <w14:textFill>
                  <w14:solidFill>
                    <w14:schemeClr w14:val="tx1"/>
                  </w14:solidFill>
                </w14:textFill>
              </w:rPr>
              <w:t>得</w:t>
            </w:r>
            <w:r>
              <w:rPr>
                <w:rFonts w:hint="eastAsia" w:ascii="宋体" w:hAnsi="宋体"/>
                <w:color w:val="000000" w:themeColor="text1"/>
                <w:sz w:val="24"/>
                <w:szCs w:val="24"/>
                <w:lang w:val="en-US" w:eastAsia="zh-CN"/>
                <w14:textFill>
                  <w14:solidFill>
                    <w14:schemeClr w14:val="tx1"/>
                  </w14:solidFill>
                </w14:textFill>
              </w:rPr>
              <w:t>1.5</w:t>
            </w:r>
            <w:r>
              <w:rPr>
                <w:rFonts w:hint="eastAsia" w:ascii="宋体" w:hAnsi="宋体"/>
                <w:color w:val="000000" w:themeColor="text1"/>
                <w:sz w:val="24"/>
                <w:szCs w:val="24"/>
                <w14:textFill>
                  <w14:solidFill>
                    <w14:schemeClr w14:val="tx1"/>
                  </w14:solidFill>
                </w14:textFill>
              </w:rPr>
              <w:t>分，</w:t>
            </w:r>
            <w:r>
              <w:rPr>
                <w:rFonts w:hint="eastAsia" w:ascii="宋体" w:hAnsi="宋体"/>
                <w:color w:val="000000" w:themeColor="text1"/>
                <w:sz w:val="24"/>
                <w:szCs w:val="24"/>
                <w:lang w:val="en-US" w:eastAsia="zh-CN"/>
                <w14:textFill>
                  <w14:solidFill>
                    <w14:schemeClr w14:val="tx1"/>
                  </w14:solidFill>
                </w14:textFill>
              </w:rPr>
              <w:t>满分15</w:t>
            </w:r>
            <w:r>
              <w:rPr>
                <w:rFonts w:hint="eastAsia" w:ascii="宋体" w:hAnsi="宋体"/>
                <w:color w:val="000000" w:themeColor="text1"/>
                <w:sz w:val="24"/>
                <w:szCs w:val="24"/>
                <w14:textFill>
                  <w14:solidFill>
                    <w14:schemeClr w14:val="tx1"/>
                  </w14:solidFill>
                </w14:textFill>
              </w:rPr>
              <w:t>分；</w:t>
            </w:r>
            <w:r>
              <w:rPr>
                <w:rFonts w:hint="eastAsia" w:ascii="宋体" w:hAnsi="宋体"/>
                <w:color w:val="000000" w:themeColor="text1"/>
                <w:sz w:val="24"/>
                <w:szCs w:val="24"/>
                <w:lang w:val="en-US" w:eastAsia="zh-CN"/>
                <w14:textFill>
                  <w14:solidFill>
                    <w14:schemeClr w14:val="tx1"/>
                  </w14:solidFill>
                </w14:textFill>
              </w:rPr>
              <w:t>备注：相同采购人</w:t>
            </w:r>
            <w:r>
              <w:rPr>
                <w:rFonts w:hint="eastAsia" w:ascii="宋体" w:hAnsi="宋体"/>
                <w:color w:val="000000" w:themeColor="text1"/>
                <w:sz w:val="24"/>
                <w:szCs w:val="24"/>
                <w14:textFill>
                  <w14:solidFill>
                    <w14:schemeClr w14:val="tx1"/>
                  </w14:solidFill>
                </w14:textFill>
              </w:rPr>
              <w:t>业绩不重复计分。</w:t>
            </w:r>
            <w:r>
              <w:rPr>
                <w:rFonts w:ascii="宋体" w:hAnsi="宋体"/>
                <w:b/>
                <w:bCs/>
                <w:color w:val="000000" w:themeColor="text1"/>
                <w:sz w:val="24"/>
                <w:szCs w:val="24"/>
                <w14:textFill>
                  <w14:solidFill>
                    <w14:schemeClr w14:val="tx1"/>
                  </w14:solidFill>
                </w14:textFill>
              </w:rPr>
              <w:t>（</w:t>
            </w:r>
            <w:r>
              <w:rPr>
                <w:rFonts w:hint="eastAsia" w:ascii="宋体" w:hAnsi="宋体"/>
                <w:b/>
                <w:bCs/>
                <w:color w:val="000000" w:themeColor="text1"/>
                <w:sz w:val="24"/>
                <w:szCs w:val="24"/>
                <w:lang w:val="en-US" w:eastAsia="zh-CN"/>
                <w14:textFill>
                  <w14:solidFill>
                    <w14:schemeClr w14:val="tx1"/>
                  </w14:solidFill>
                </w14:textFill>
              </w:rPr>
              <w:t>备注：</w:t>
            </w:r>
            <w:r>
              <w:rPr>
                <w:rFonts w:ascii="宋体" w:hAnsi="宋体"/>
                <w:b/>
                <w:bCs/>
                <w:color w:val="000000" w:themeColor="text1"/>
                <w:sz w:val="24"/>
                <w:szCs w:val="24"/>
                <w14:textFill>
                  <w14:solidFill>
                    <w14:schemeClr w14:val="tx1"/>
                  </w14:solidFill>
                </w14:textFill>
              </w:rPr>
              <w:t>提供合同</w:t>
            </w:r>
            <w:r>
              <w:rPr>
                <w:rFonts w:hint="eastAsia" w:ascii="宋体" w:hAnsi="宋体"/>
                <w:b/>
                <w:bCs/>
                <w:color w:val="000000" w:themeColor="text1"/>
                <w:sz w:val="24"/>
                <w:szCs w:val="24"/>
                <w:lang w:eastAsia="zh-CN"/>
                <w14:textFill>
                  <w14:solidFill>
                    <w14:schemeClr w14:val="tx1"/>
                  </w14:solidFill>
                </w14:textFill>
              </w:rPr>
              <w:t>，</w:t>
            </w:r>
            <w:r>
              <w:rPr>
                <w:rFonts w:hint="eastAsia" w:ascii="宋体" w:hAnsi="宋体"/>
                <w:b/>
                <w:bCs/>
                <w:color w:val="000000" w:themeColor="text1"/>
                <w:sz w:val="24"/>
                <w:szCs w:val="24"/>
                <w:lang w:val="en-US" w:eastAsia="zh-CN"/>
                <w14:textFill>
                  <w14:solidFill>
                    <w14:schemeClr w14:val="tx1"/>
                  </w14:solidFill>
                </w14:textFill>
              </w:rPr>
              <w:t>采购人、项目名称、金额、合同日期等信息清晰可见；同一采购人多份合同只算一份</w:t>
            </w:r>
            <w:r>
              <w:rPr>
                <w:rFonts w:hint="eastAsia" w:ascii="宋体" w:hAnsi="宋体"/>
                <w:b/>
                <w:bCs/>
                <w:color w:val="000000" w:themeColor="text1"/>
                <w:sz w:val="24"/>
                <w:szCs w:val="24"/>
                <w14:textFill>
                  <w14:solidFill>
                    <w14:schemeClr w14:val="tx1"/>
                  </w14:solidFill>
                </w14:textFill>
              </w:rPr>
              <w:t>）</w:t>
            </w:r>
          </w:p>
        </w:tc>
        <w:tc>
          <w:tcPr>
            <w:tcW w:w="1463" w:type="dxa"/>
            <w:vAlign w:val="center"/>
          </w:tcPr>
          <w:p w14:paraId="1425AAD7">
            <w:pPr>
              <w:autoSpaceDE w:val="0"/>
              <w:autoSpaceDN w:val="0"/>
              <w:adjustRightInd w:val="0"/>
              <w:snapToGrid w:val="0"/>
              <w:spacing w:line="360" w:lineRule="auto"/>
              <w:ind w:right="71" w:rightChars="0"/>
              <w:jc w:val="cente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15</w:t>
            </w:r>
            <w:r>
              <w:rPr>
                <w:rFonts w:hint="eastAsia" w:ascii="宋体" w:hAnsi="宋体"/>
                <w:color w:val="000000" w:themeColor="text1"/>
                <w:sz w:val="24"/>
                <w:szCs w:val="24"/>
                <w14:textFill>
                  <w14:solidFill>
                    <w14:schemeClr w14:val="tx1"/>
                  </w14:solidFill>
                </w14:textFill>
              </w:rPr>
              <w:t>分</w:t>
            </w:r>
          </w:p>
        </w:tc>
      </w:tr>
      <w:tr w14:paraId="5C1E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1556" w:type="dxa"/>
            <w:vMerge w:val="continue"/>
            <w:vAlign w:val="center"/>
          </w:tcPr>
          <w:p w14:paraId="25C8E0F1">
            <w:pPr>
              <w:adjustRightInd w:val="0"/>
              <w:snapToGrid w:val="0"/>
              <w:spacing w:line="360" w:lineRule="auto"/>
              <w:jc w:val="center"/>
              <w:rPr>
                <w:rFonts w:ascii="宋体" w:hAnsi="宋体"/>
                <w:color w:val="000000" w:themeColor="text1"/>
                <w:sz w:val="24"/>
                <w:szCs w:val="24"/>
                <w14:textFill>
                  <w14:solidFill>
                    <w14:schemeClr w14:val="tx1"/>
                  </w14:solidFill>
                </w14:textFill>
              </w:rPr>
            </w:pPr>
          </w:p>
        </w:tc>
        <w:tc>
          <w:tcPr>
            <w:tcW w:w="1300" w:type="dxa"/>
            <w:vAlign w:val="center"/>
          </w:tcPr>
          <w:p w14:paraId="45C6896E">
            <w:pPr>
              <w:autoSpaceDE w:val="0"/>
              <w:autoSpaceDN w:val="0"/>
              <w:adjustRightInd w:val="0"/>
              <w:snapToGrid w:val="0"/>
              <w:spacing w:line="360" w:lineRule="auto"/>
              <w:ind w:right="71"/>
              <w:jc w:val="center"/>
              <w:rPr>
                <w:rFonts w:hint="eastAsia" w:ascii="宋体" w:hAnsi="宋体"/>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专业评估</w:t>
            </w:r>
          </w:p>
        </w:tc>
        <w:tc>
          <w:tcPr>
            <w:tcW w:w="6244" w:type="dxa"/>
            <w:vAlign w:val="center"/>
          </w:tcPr>
          <w:p w14:paraId="63DE0E42">
            <w:pPr>
              <w:autoSpaceDE w:val="0"/>
              <w:autoSpaceDN w:val="0"/>
              <w:adjustRightInd w:val="0"/>
              <w:snapToGrid w:val="0"/>
              <w:spacing w:line="360" w:lineRule="auto"/>
              <w:ind w:right="71"/>
              <w:rPr>
                <w:rFonts w:hint="eastAsia" w:ascii="宋体" w:hAnsi="宋体"/>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投标人</w:t>
            </w:r>
            <w:r>
              <w:rPr>
                <w:rFonts w:hint="eastAsia" w:ascii="宋体" w:hAnsi="宋体" w:cs="宋体"/>
                <w:bCs/>
                <w:color w:val="000000" w:themeColor="text1"/>
                <w:sz w:val="24"/>
                <w:szCs w:val="24"/>
                <w:lang w:val="en-US" w:eastAsia="zh-CN"/>
                <w14:textFill>
                  <w14:solidFill>
                    <w14:schemeClr w14:val="tx1"/>
                  </w14:solidFill>
                </w14:textFill>
              </w:rPr>
              <w:t>具有</w:t>
            </w:r>
            <w:r>
              <w:rPr>
                <w:rFonts w:hint="eastAsia" w:ascii="宋体" w:hAnsi="宋体" w:cs="宋体"/>
                <w:bCs/>
                <w:color w:val="000000" w:themeColor="text1"/>
                <w:sz w:val="24"/>
                <w:szCs w:val="24"/>
                <w14:textFill>
                  <w14:solidFill>
                    <w14:schemeClr w14:val="tx1"/>
                  </w14:solidFill>
                </w14:textFill>
              </w:rPr>
              <w:t>专业第三方机构出具的过往宫颈癌筛查项目评估报告。</w:t>
            </w:r>
            <w:r>
              <w:rPr>
                <w:rFonts w:ascii="宋体" w:hAnsi="宋体"/>
                <w:b/>
                <w:bCs/>
                <w:color w:val="000000" w:themeColor="text1"/>
                <w:sz w:val="24"/>
                <w:szCs w:val="24"/>
                <w14:textFill>
                  <w14:solidFill>
                    <w14:schemeClr w14:val="tx1"/>
                  </w14:solidFill>
                </w14:textFill>
              </w:rPr>
              <w:t>（提供</w:t>
            </w:r>
            <w:r>
              <w:rPr>
                <w:rFonts w:hint="eastAsia" w:ascii="宋体" w:hAnsi="宋体"/>
                <w:b/>
                <w:bCs/>
                <w:color w:val="000000" w:themeColor="text1"/>
                <w:sz w:val="24"/>
                <w:szCs w:val="24"/>
                <w:lang w:val="en-US" w:eastAsia="zh-CN"/>
                <w14:textFill>
                  <w14:solidFill>
                    <w14:schemeClr w14:val="tx1"/>
                  </w14:solidFill>
                </w14:textFill>
              </w:rPr>
              <w:t>证明文件并加盖公章</w:t>
            </w:r>
            <w:r>
              <w:rPr>
                <w:rFonts w:hint="eastAsia" w:ascii="宋体" w:hAnsi="宋体"/>
                <w:b/>
                <w:bCs/>
                <w:color w:val="000000" w:themeColor="text1"/>
                <w:sz w:val="24"/>
                <w:szCs w:val="24"/>
                <w14:textFill>
                  <w14:solidFill>
                    <w14:schemeClr w14:val="tx1"/>
                  </w14:solidFill>
                </w14:textFill>
              </w:rPr>
              <w:t>）</w:t>
            </w:r>
          </w:p>
        </w:tc>
        <w:tc>
          <w:tcPr>
            <w:tcW w:w="1463" w:type="dxa"/>
            <w:vAlign w:val="center"/>
          </w:tcPr>
          <w:p w14:paraId="5E530F65">
            <w:pPr>
              <w:autoSpaceDE w:val="0"/>
              <w:autoSpaceDN w:val="0"/>
              <w:adjustRightInd w:val="0"/>
              <w:snapToGrid w:val="0"/>
              <w:spacing w:line="360" w:lineRule="auto"/>
              <w:ind w:right="71" w:rightChars="0"/>
              <w:jc w:val="center"/>
              <w:rPr>
                <w:rFonts w:hint="eastAsia" w:ascii="宋体" w:hAnsi="宋体" w:cs="宋体"/>
                <w:bCs/>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3分</w:t>
            </w:r>
          </w:p>
        </w:tc>
      </w:tr>
      <w:tr w14:paraId="1817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556" w:type="dxa"/>
            <w:vMerge w:val="continue"/>
            <w:vAlign w:val="center"/>
          </w:tcPr>
          <w:p w14:paraId="4247AC47">
            <w:pPr>
              <w:adjustRightInd w:val="0"/>
              <w:snapToGrid w:val="0"/>
              <w:spacing w:line="360" w:lineRule="auto"/>
              <w:jc w:val="center"/>
              <w:rPr>
                <w:rFonts w:ascii="宋体" w:hAnsi="宋体"/>
                <w:color w:val="000000" w:themeColor="text1"/>
                <w:sz w:val="24"/>
                <w:szCs w:val="24"/>
                <w14:textFill>
                  <w14:solidFill>
                    <w14:schemeClr w14:val="tx1"/>
                  </w14:solidFill>
                </w14:textFill>
              </w:rPr>
            </w:pPr>
          </w:p>
        </w:tc>
        <w:tc>
          <w:tcPr>
            <w:tcW w:w="1300" w:type="dxa"/>
            <w:vAlign w:val="center"/>
          </w:tcPr>
          <w:p w14:paraId="30860B12">
            <w:pPr>
              <w:autoSpaceDE w:val="0"/>
              <w:autoSpaceDN w:val="0"/>
              <w:adjustRightInd w:val="0"/>
              <w:snapToGrid w:val="0"/>
              <w:spacing w:line="360" w:lineRule="auto"/>
              <w:ind w:right="7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投标文件</w:t>
            </w:r>
          </w:p>
          <w:p w14:paraId="4D240374">
            <w:pPr>
              <w:autoSpaceDE w:val="0"/>
              <w:autoSpaceDN w:val="0"/>
              <w:adjustRightInd w:val="0"/>
              <w:snapToGrid w:val="0"/>
              <w:spacing w:line="360" w:lineRule="auto"/>
              <w:ind w:right="7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的</w:t>
            </w:r>
            <w:r>
              <w:rPr>
                <w:rFonts w:ascii="宋体" w:hAnsi="宋体"/>
                <w:color w:val="000000" w:themeColor="text1"/>
                <w:sz w:val="24"/>
                <w:szCs w:val="24"/>
                <w14:textFill>
                  <w14:solidFill>
                    <w14:schemeClr w14:val="tx1"/>
                  </w14:solidFill>
                </w14:textFill>
              </w:rPr>
              <w:t>规范性</w:t>
            </w:r>
          </w:p>
        </w:tc>
        <w:tc>
          <w:tcPr>
            <w:tcW w:w="6244" w:type="dxa"/>
            <w:vAlign w:val="center"/>
          </w:tcPr>
          <w:p w14:paraId="472A17B2">
            <w:pPr>
              <w:autoSpaceDE w:val="0"/>
              <w:autoSpaceDN w:val="0"/>
              <w:adjustRightInd w:val="0"/>
              <w:snapToGrid w:val="0"/>
              <w:spacing w:line="360" w:lineRule="auto"/>
              <w:ind w:right="71"/>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w:t>
            </w:r>
            <w:r>
              <w:rPr>
                <w:rFonts w:ascii="宋体" w:hAnsi="宋体"/>
                <w:color w:val="000000" w:themeColor="text1"/>
                <w:sz w:val="24"/>
                <w:szCs w:val="24"/>
                <w14:textFill>
                  <w14:solidFill>
                    <w14:schemeClr w14:val="tx1"/>
                  </w14:solidFill>
                </w14:textFill>
              </w:rPr>
              <w:t>文件资料齐全</w:t>
            </w: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信息准确</w:t>
            </w: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页码</w:t>
            </w:r>
            <w:r>
              <w:rPr>
                <w:rFonts w:hint="eastAsia" w:ascii="宋体" w:hAnsi="宋体"/>
                <w:color w:val="000000" w:themeColor="text1"/>
                <w:sz w:val="24"/>
                <w:szCs w:val="24"/>
                <w14:textFill>
                  <w14:solidFill>
                    <w14:schemeClr w14:val="tx1"/>
                  </w14:solidFill>
                </w14:textFill>
              </w:rPr>
              <w:t>连续</w:t>
            </w:r>
            <w:r>
              <w:rPr>
                <w:rFonts w:ascii="宋体" w:hAnsi="宋体"/>
                <w:color w:val="000000" w:themeColor="text1"/>
                <w:sz w:val="24"/>
                <w:szCs w:val="24"/>
                <w14:textFill>
                  <w14:solidFill>
                    <w14:schemeClr w14:val="tx1"/>
                  </w14:solidFill>
                </w14:textFill>
              </w:rPr>
              <w:t>，并有详细目录，目录与有关材料装订顺序对应清晰，查阅方便。得</w:t>
            </w:r>
            <w:r>
              <w:rPr>
                <w:rFonts w:hint="eastAsia" w:ascii="宋体" w:hAnsi="宋体"/>
                <w:color w:val="000000" w:themeColor="text1"/>
                <w:sz w:val="24"/>
                <w:szCs w:val="24"/>
                <w:lang w:val="en-US" w:eastAsia="zh-CN"/>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分，</w:t>
            </w:r>
            <w:r>
              <w:rPr>
                <w:rFonts w:ascii="宋体" w:hAnsi="宋体"/>
                <w:color w:val="000000" w:themeColor="text1"/>
                <w:sz w:val="24"/>
                <w:szCs w:val="24"/>
                <w14:textFill>
                  <w14:solidFill>
                    <w14:schemeClr w14:val="tx1"/>
                  </w14:solidFill>
                </w14:textFill>
              </w:rPr>
              <w:t>每缺少一项扣</w:t>
            </w:r>
            <w:r>
              <w:rPr>
                <w:rFonts w:hint="eastAsia" w:ascii="宋体" w:hAnsi="宋体"/>
                <w:color w:val="000000" w:themeColor="text1"/>
                <w:sz w:val="24"/>
                <w:szCs w:val="24"/>
                <w14:textFill>
                  <w14:solidFill>
                    <w14:schemeClr w14:val="tx1"/>
                  </w14:solidFill>
                </w14:textFill>
              </w:rPr>
              <w:t>1分</w:t>
            </w:r>
            <w:r>
              <w:rPr>
                <w:rFonts w:ascii="宋体" w:hAnsi="宋体"/>
                <w:color w:val="000000" w:themeColor="text1"/>
                <w:sz w:val="24"/>
                <w:szCs w:val="24"/>
                <w14:textFill>
                  <w14:solidFill>
                    <w14:schemeClr w14:val="tx1"/>
                  </w14:solidFill>
                </w14:textFill>
              </w:rPr>
              <w:t>，扣完为止。</w:t>
            </w:r>
          </w:p>
        </w:tc>
        <w:tc>
          <w:tcPr>
            <w:tcW w:w="1463" w:type="dxa"/>
            <w:vAlign w:val="center"/>
          </w:tcPr>
          <w:p w14:paraId="78670AC2">
            <w:pPr>
              <w:autoSpaceDE w:val="0"/>
              <w:autoSpaceDN w:val="0"/>
              <w:adjustRightInd w:val="0"/>
              <w:snapToGrid w:val="0"/>
              <w:spacing w:line="360" w:lineRule="auto"/>
              <w:ind w:right="71" w:rightChars="0"/>
              <w:jc w:val="cente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分</w:t>
            </w:r>
          </w:p>
        </w:tc>
      </w:tr>
      <w:tr w14:paraId="5717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556" w:type="dxa"/>
            <w:vMerge w:val="restart"/>
            <w:vAlign w:val="center"/>
          </w:tcPr>
          <w:p w14:paraId="344EB0DD">
            <w:pPr>
              <w:adjustRightInd w:val="0"/>
              <w:snapToGrid w:val="0"/>
              <w:spacing w:line="360" w:lineRule="auto"/>
              <w:jc w:val="center"/>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技术</w:t>
            </w:r>
            <w:r>
              <w:rPr>
                <w:rFonts w:hint="eastAsia"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lang w:val="en-US" w:eastAsia="zh-CN"/>
                <w14:textFill>
                  <w14:solidFill>
                    <w14:schemeClr w14:val="tx1"/>
                  </w14:solidFill>
                </w14:textFill>
              </w:rPr>
              <w:t>50</w:t>
            </w:r>
            <w:r>
              <w:rPr>
                <w:rFonts w:hint="eastAsia" w:ascii="宋体" w:hAnsi="宋体"/>
                <w:color w:val="000000" w:themeColor="text1"/>
                <w:sz w:val="24"/>
                <w:szCs w:val="24"/>
                <w14:textFill>
                  <w14:solidFill>
                    <w14:schemeClr w14:val="tx1"/>
                  </w14:solidFill>
                </w14:textFill>
              </w:rPr>
              <w:t>分)</w:t>
            </w:r>
          </w:p>
          <w:p w14:paraId="24A59367">
            <w:pPr>
              <w:adjustRightInd w:val="0"/>
              <w:snapToGrid w:val="0"/>
              <w:spacing w:line="360" w:lineRule="auto"/>
              <w:jc w:val="center"/>
              <w:rPr>
                <w:rFonts w:ascii="宋体" w:hAnsi="宋体"/>
                <w:color w:val="000000" w:themeColor="text1"/>
                <w:sz w:val="24"/>
                <w:szCs w:val="24"/>
                <w14:textFill>
                  <w14:solidFill>
                    <w14:schemeClr w14:val="tx1"/>
                  </w14:solidFill>
                </w14:textFill>
              </w:rPr>
            </w:pPr>
          </w:p>
        </w:tc>
        <w:tc>
          <w:tcPr>
            <w:tcW w:w="1300" w:type="dxa"/>
            <w:vAlign w:val="center"/>
          </w:tcPr>
          <w:p w14:paraId="71BB3B7A">
            <w:pPr>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服务</w:t>
            </w:r>
            <w:r>
              <w:rPr>
                <w:rFonts w:ascii="宋体" w:hAnsi="宋体"/>
                <w:color w:val="000000" w:themeColor="text1"/>
                <w:sz w:val="24"/>
                <w:szCs w:val="24"/>
                <w14:textFill>
                  <w14:solidFill>
                    <w14:schemeClr w14:val="tx1"/>
                  </w14:solidFill>
                </w14:textFill>
              </w:rPr>
              <w:t>方案</w:t>
            </w:r>
          </w:p>
        </w:tc>
        <w:tc>
          <w:tcPr>
            <w:tcW w:w="6244" w:type="dxa"/>
            <w:vAlign w:val="center"/>
          </w:tcPr>
          <w:p w14:paraId="4E17BA36">
            <w:pPr>
              <w:autoSpaceDE w:val="0"/>
              <w:autoSpaceDN w:val="0"/>
              <w:adjustRightInd w:val="0"/>
              <w:snapToGrid w:val="0"/>
              <w:spacing w:line="360" w:lineRule="auto"/>
              <w:ind w:right="71" w:rightChars="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根据</w:t>
            </w:r>
            <w:r>
              <w:rPr>
                <w:rFonts w:ascii="宋体" w:hAnsi="宋体"/>
                <w:color w:val="000000" w:themeColor="text1"/>
                <w:sz w:val="24"/>
                <w:szCs w:val="24"/>
                <w14:textFill>
                  <w14:solidFill>
                    <w14:schemeClr w14:val="tx1"/>
                  </w14:solidFill>
                </w14:textFill>
              </w:rPr>
              <w:t>投标人的服务方案</w:t>
            </w: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承诺及执行保障措施</w:t>
            </w:r>
            <w:r>
              <w:rPr>
                <w:rFonts w:hint="eastAsia" w:ascii="宋体" w:hAnsi="宋体"/>
                <w:color w:val="000000" w:themeColor="text1"/>
                <w:sz w:val="24"/>
                <w:szCs w:val="24"/>
                <w14:textFill>
                  <w14:solidFill>
                    <w14:schemeClr w14:val="tx1"/>
                  </w14:solidFill>
                </w14:textFill>
              </w:rPr>
              <w:t>打分。方案</w:t>
            </w:r>
            <w:r>
              <w:rPr>
                <w:rFonts w:hint="eastAsia" w:cs="宋体"/>
                <w:color w:val="000000" w:themeColor="text1"/>
                <w:sz w:val="24"/>
                <w:szCs w:val="24"/>
                <w14:textFill>
                  <w14:solidFill>
                    <w14:schemeClr w14:val="tx1"/>
                  </w14:solidFill>
                </w14:textFill>
              </w:rPr>
              <w:t>需覆盖服务方案全流程，无关键环节缺失</w:t>
            </w:r>
            <w:r>
              <w:rPr>
                <w:rFonts w:hint="eastAsia" w:cs="宋体"/>
                <w:color w:val="000000" w:themeColor="text1"/>
                <w:sz w:val="24"/>
                <w:szCs w:val="24"/>
                <w:lang w:eastAsia="zh-CN"/>
                <w14:textFill>
                  <w14:solidFill>
                    <w14:schemeClr w14:val="tx1"/>
                  </w14:solidFill>
                </w14:textFill>
              </w:rPr>
              <w:t>，</w:t>
            </w:r>
            <w:r>
              <w:rPr>
                <w:rFonts w:ascii="宋体" w:hAnsi="宋体"/>
                <w:color w:val="000000" w:themeColor="text1"/>
                <w:sz w:val="24"/>
                <w:szCs w:val="24"/>
                <w14:textFill>
                  <w14:solidFill>
                    <w14:schemeClr w14:val="tx1"/>
                  </w14:solidFill>
                </w14:textFill>
              </w:rPr>
              <w:t>响应</w:t>
            </w:r>
            <w:r>
              <w:rPr>
                <w:rFonts w:hint="eastAsia" w:ascii="宋体" w:hAnsi="宋体"/>
                <w:color w:val="000000" w:themeColor="text1"/>
                <w:sz w:val="24"/>
                <w:szCs w:val="24"/>
                <w14:textFill>
                  <w14:solidFill>
                    <w14:schemeClr w14:val="tx1"/>
                  </w14:solidFill>
                </w14:textFill>
              </w:rPr>
              <w:t>迅速、操作性强得</w:t>
            </w:r>
            <w:r>
              <w:rPr>
                <w:rFonts w:hint="eastAsia" w:ascii="宋体" w:hAnsi="宋体"/>
                <w:color w:val="000000" w:themeColor="text1"/>
                <w:sz w:val="24"/>
                <w:szCs w:val="24"/>
                <w:lang w:val="en-US" w:eastAsia="zh-CN"/>
                <w14:textFill>
                  <w14:solidFill>
                    <w14:schemeClr w14:val="tx1"/>
                  </w14:solidFill>
                </w14:textFill>
              </w:rPr>
              <w:t>12</w:t>
            </w: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15</w:t>
            </w:r>
            <w:r>
              <w:rPr>
                <w:rFonts w:hint="eastAsia" w:ascii="宋体" w:hAnsi="宋体"/>
                <w:color w:val="000000" w:themeColor="text1"/>
                <w:sz w:val="24"/>
                <w:szCs w:val="24"/>
                <w14:textFill>
                  <w14:solidFill>
                    <w14:schemeClr w14:val="tx1"/>
                  </w14:solidFill>
                </w14:textFill>
              </w:rPr>
              <w:t>分；方案</w:t>
            </w:r>
            <w:r>
              <w:rPr>
                <w:rFonts w:hint="eastAsia" w:cs="宋体"/>
                <w:color w:val="000000" w:themeColor="text1"/>
                <w:sz w:val="24"/>
                <w:szCs w:val="24"/>
                <w14:textFill>
                  <w14:solidFill>
                    <w14:schemeClr w14:val="tx1"/>
                  </w14:solidFill>
                </w14:textFill>
              </w:rPr>
              <w:t>需覆盖服务方案全流程，无关键环节缺失</w:t>
            </w:r>
            <w:r>
              <w:rPr>
                <w:rFonts w:hint="eastAsia" w:cs="宋体"/>
                <w:color w:val="000000" w:themeColor="text1"/>
                <w:sz w:val="24"/>
                <w:szCs w:val="24"/>
                <w:lang w:eastAsia="zh-CN"/>
                <w14:textFill>
                  <w14:solidFill>
                    <w14:schemeClr w14:val="tx1"/>
                  </w14:solidFill>
                </w14:textFill>
              </w:rPr>
              <w:t>，</w:t>
            </w:r>
            <w:r>
              <w:rPr>
                <w:rFonts w:ascii="宋体" w:hAnsi="宋体"/>
                <w:color w:val="000000" w:themeColor="text1"/>
                <w:sz w:val="24"/>
                <w:szCs w:val="24"/>
                <w14:textFill>
                  <w14:solidFill>
                    <w14:schemeClr w14:val="tx1"/>
                  </w14:solidFill>
                </w14:textFill>
              </w:rPr>
              <w:t>响应</w:t>
            </w:r>
            <w:r>
              <w:rPr>
                <w:rFonts w:hint="eastAsia" w:ascii="宋体" w:hAnsi="宋体"/>
                <w:color w:val="000000" w:themeColor="text1"/>
                <w:sz w:val="24"/>
                <w:szCs w:val="24"/>
                <w14:textFill>
                  <w14:solidFill>
                    <w14:schemeClr w14:val="tx1"/>
                  </w14:solidFill>
                </w14:textFill>
              </w:rPr>
              <w:t>迅速、操作性较强得</w:t>
            </w:r>
            <w:r>
              <w:rPr>
                <w:rFonts w:hint="eastAsia" w:ascii="宋体" w:hAnsi="宋体"/>
                <w:color w:val="000000" w:themeColor="text1"/>
                <w:sz w:val="24"/>
                <w:szCs w:val="24"/>
                <w:lang w:val="en-US" w:eastAsia="zh-CN"/>
                <w14:textFill>
                  <w14:solidFill>
                    <w14:schemeClr w14:val="tx1"/>
                  </w14:solidFill>
                </w14:textFill>
              </w:rPr>
              <w:t>7</w:t>
            </w: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11</w:t>
            </w:r>
            <w:r>
              <w:rPr>
                <w:rFonts w:hint="eastAsia" w:ascii="宋体" w:hAnsi="宋体"/>
                <w:color w:val="000000" w:themeColor="text1"/>
                <w:sz w:val="24"/>
                <w:szCs w:val="24"/>
                <w14:textFill>
                  <w14:solidFill>
                    <w14:schemeClr w14:val="tx1"/>
                  </w14:solidFill>
                </w14:textFill>
              </w:rPr>
              <w:t>分；方案</w:t>
            </w:r>
            <w:r>
              <w:rPr>
                <w:rFonts w:hint="eastAsia" w:cs="宋体"/>
                <w:color w:val="000000" w:themeColor="text1"/>
                <w:sz w:val="24"/>
                <w:szCs w:val="24"/>
                <w14:textFill>
                  <w14:solidFill>
                    <w14:schemeClr w14:val="tx1"/>
                  </w14:solidFill>
                </w14:textFill>
              </w:rPr>
              <w:t>需覆盖服务方案全流程，无关键环节缺失</w:t>
            </w:r>
            <w:r>
              <w:rPr>
                <w:rFonts w:hint="eastAsia" w:cs="宋体"/>
                <w:color w:val="000000" w:themeColor="text1"/>
                <w:sz w:val="24"/>
                <w:szCs w:val="24"/>
                <w:lang w:eastAsia="zh-CN"/>
                <w14:textFill>
                  <w14:solidFill>
                    <w14:schemeClr w14:val="tx1"/>
                  </w14:solidFill>
                </w14:textFill>
              </w:rPr>
              <w:t>，</w:t>
            </w:r>
            <w:r>
              <w:rPr>
                <w:rFonts w:ascii="宋体" w:hAnsi="宋体"/>
                <w:color w:val="000000" w:themeColor="text1"/>
                <w:sz w:val="24"/>
                <w:szCs w:val="24"/>
                <w14:textFill>
                  <w14:solidFill>
                    <w14:schemeClr w14:val="tx1"/>
                  </w14:solidFill>
                </w14:textFill>
              </w:rPr>
              <w:t>响应</w:t>
            </w:r>
            <w:r>
              <w:rPr>
                <w:rFonts w:hint="eastAsia" w:ascii="宋体" w:hAnsi="宋体"/>
                <w:color w:val="000000" w:themeColor="text1"/>
                <w:sz w:val="24"/>
                <w:szCs w:val="24"/>
                <w14:textFill>
                  <w14:solidFill>
                    <w14:schemeClr w14:val="tx1"/>
                  </w14:solidFill>
                </w14:textFill>
              </w:rPr>
              <w:t>迅速、操作性不强得</w:t>
            </w:r>
            <w:r>
              <w:rPr>
                <w:rFonts w:hint="eastAsia" w:ascii="宋体" w:hAnsi="宋体"/>
                <w:color w:val="000000" w:themeColor="text1"/>
                <w:sz w:val="24"/>
                <w:szCs w:val="24"/>
                <w:lang w:val="en-US" w:eastAsia="zh-CN"/>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6</w:t>
            </w:r>
            <w:r>
              <w:rPr>
                <w:rFonts w:hint="eastAsia" w:ascii="宋体" w:hAnsi="宋体"/>
                <w:color w:val="000000" w:themeColor="text1"/>
                <w:sz w:val="24"/>
                <w:szCs w:val="24"/>
                <w14:textFill>
                  <w14:solidFill>
                    <w14:schemeClr w14:val="tx1"/>
                  </w14:solidFill>
                </w14:textFill>
              </w:rPr>
              <w:t>分。</w:t>
            </w:r>
          </w:p>
        </w:tc>
        <w:tc>
          <w:tcPr>
            <w:tcW w:w="1463" w:type="dxa"/>
            <w:vAlign w:val="center"/>
          </w:tcPr>
          <w:p w14:paraId="5BB3AACD">
            <w:pPr>
              <w:widowControl/>
              <w:spacing w:line="360" w:lineRule="auto"/>
              <w:ind w:left="-140" w:leftChars="-50" w:right="-140" w:rightChars="-50"/>
              <w:jc w:val="cente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15</w:t>
            </w:r>
            <w:r>
              <w:rPr>
                <w:rFonts w:hint="eastAsia" w:ascii="宋体" w:hAnsi="宋体"/>
                <w:color w:val="000000" w:themeColor="text1"/>
                <w:sz w:val="24"/>
                <w:szCs w:val="24"/>
                <w14:textFill>
                  <w14:solidFill>
                    <w14:schemeClr w14:val="tx1"/>
                  </w14:solidFill>
                </w14:textFill>
              </w:rPr>
              <w:t>分</w:t>
            </w:r>
          </w:p>
        </w:tc>
      </w:tr>
      <w:tr w14:paraId="04CB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556" w:type="dxa"/>
            <w:vMerge w:val="continue"/>
            <w:vAlign w:val="center"/>
          </w:tcPr>
          <w:p w14:paraId="7B8C482A">
            <w:pPr>
              <w:adjustRightInd w:val="0"/>
              <w:snapToGrid w:val="0"/>
              <w:spacing w:line="360" w:lineRule="auto"/>
              <w:jc w:val="center"/>
              <w:rPr>
                <w:rFonts w:ascii="宋体" w:hAnsi="宋体"/>
                <w:color w:val="000000" w:themeColor="text1"/>
                <w:sz w:val="24"/>
                <w:szCs w:val="24"/>
                <w14:textFill>
                  <w14:solidFill>
                    <w14:schemeClr w14:val="tx1"/>
                  </w14:solidFill>
                </w14:textFill>
              </w:rPr>
            </w:pPr>
          </w:p>
        </w:tc>
        <w:tc>
          <w:tcPr>
            <w:tcW w:w="1300" w:type="dxa"/>
            <w:vAlign w:val="center"/>
          </w:tcPr>
          <w:p w14:paraId="62A21692">
            <w:pPr>
              <w:spacing w:line="360" w:lineRule="auto"/>
              <w:ind w:left="-140" w:leftChars="-50" w:right="-140" w:rightChars="-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应急预案</w:t>
            </w:r>
          </w:p>
        </w:tc>
        <w:tc>
          <w:tcPr>
            <w:tcW w:w="6244" w:type="dxa"/>
            <w:vAlign w:val="center"/>
          </w:tcPr>
          <w:p w14:paraId="692156F6">
            <w:pPr>
              <w:widowControl/>
              <w:spacing w:line="360" w:lineRule="auto"/>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切合本项目实际情况提出操作性强的</w:t>
            </w:r>
            <w:r>
              <w:rPr>
                <w:rFonts w:hint="eastAsia" w:cs="宋体"/>
                <w:color w:val="000000" w:themeColor="text1"/>
                <w:sz w:val="24"/>
                <w:szCs w:val="24"/>
                <w:lang w:val="en-US" w:eastAsia="zh-CN"/>
                <w14:textFill>
                  <w14:solidFill>
                    <w14:schemeClr w14:val="tx1"/>
                  </w14:solidFill>
                </w14:textFill>
              </w:rPr>
              <w:t>应急</w:t>
            </w:r>
            <w:r>
              <w:rPr>
                <w:rFonts w:hint="eastAsia" w:cs="宋体"/>
                <w:color w:val="000000" w:themeColor="text1"/>
                <w:sz w:val="24"/>
                <w:szCs w:val="24"/>
                <w14:textFill>
                  <w14:solidFill>
                    <w14:schemeClr w14:val="tx1"/>
                  </w14:solidFill>
                </w14:textFill>
              </w:rPr>
              <w:t>方案</w:t>
            </w:r>
            <w:r>
              <w:rPr>
                <w:rFonts w:hint="eastAsia" w:cs="宋体"/>
                <w:color w:val="000000" w:themeColor="text1"/>
                <w:sz w:val="24"/>
                <w:szCs w:val="24"/>
                <w:lang w:eastAsia="zh-CN"/>
                <w14:textFill>
                  <w14:solidFill>
                    <w14:schemeClr w14:val="tx1"/>
                  </w14:solidFill>
                </w14:textFill>
              </w:rPr>
              <w:t>，</w:t>
            </w:r>
            <w:r>
              <w:rPr>
                <w:rFonts w:hint="eastAsia" w:cs="宋体"/>
                <w:color w:val="000000" w:themeColor="text1"/>
                <w:sz w:val="24"/>
                <w:szCs w:val="24"/>
                <w14:textFill>
                  <w14:solidFill>
                    <w14:schemeClr w14:val="tx1"/>
                  </w14:solidFill>
                </w14:textFill>
              </w:rPr>
              <w:t>包括以下内容：</w:t>
            </w:r>
          </w:p>
          <w:p w14:paraId="48129F7F">
            <w:pPr>
              <w:widowControl/>
              <w:spacing w:line="360" w:lineRule="auto"/>
              <w:rPr>
                <w:rFonts w:hint="eastAsia" w:cs="宋体"/>
                <w:color w:val="000000" w:themeColor="text1"/>
                <w:kern w:val="0"/>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（1）设备故障</w:t>
            </w:r>
          </w:p>
          <w:p w14:paraId="3BC60BAD">
            <w:pPr>
              <w:widowControl/>
              <w:spacing w:line="360" w:lineRule="auto"/>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（2）数据安全事件</w:t>
            </w:r>
          </w:p>
          <w:p w14:paraId="460F92BB">
            <w:pPr>
              <w:widowControl/>
              <w:spacing w:line="360" w:lineRule="auto"/>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（3）舆情风险</w:t>
            </w:r>
          </w:p>
          <w:p w14:paraId="6EC8111A">
            <w:pPr>
              <w:autoSpaceDE w:val="0"/>
              <w:autoSpaceDN w:val="0"/>
              <w:adjustRightInd w:val="0"/>
              <w:snapToGrid w:val="0"/>
              <w:spacing w:line="360" w:lineRule="auto"/>
              <w:ind w:right="71" w:rightChars="0"/>
              <w:rPr>
                <w:rFonts w:ascii="宋体" w:hAnsi="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对上述三项评审内容进行评审，每项评审内容完全满足两项评审标准的得2分，满足一项的得1分，其他情况不得分。满分6分。</w:t>
            </w:r>
          </w:p>
        </w:tc>
        <w:tc>
          <w:tcPr>
            <w:tcW w:w="1463" w:type="dxa"/>
            <w:vAlign w:val="center"/>
          </w:tcPr>
          <w:p w14:paraId="61DB5392">
            <w:pPr>
              <w:widowControl/>
              <w:spacing w:line="360" w:lineRule="auto"/>
              <w:ind w:left="-140" w:leftChars="-50" w:right="-140" w:rightChars="-50"/>
              <w:jc w:val="center"/>
              <w:rPr>
                <w:rFonts w:hint="eastAsia" w:cs="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9分</w:t>
            </w:r>
          </w:p>
        </w:tc>
      </w:tr>
      <w:tr w14:paraId="4FD8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556" w:type="dxa"/>
            <w:vMerge w:val="continue"/>
            <w:vAlign w:val="center"/>
          </w:tcPr>
          <w:p w14:paraId="56C4A8F0">
            <w:pPr>
              <w:adjustRightInd w:val="0"/>
              <w:snapToGrid w:val="0"/>
              <w:spacing w:line="360" w:lineRule="auto"/>
              <w:jc w:val="center"/>
              <w:rPr>
                <w:rFonts w:ascii="宋体" w:hAnsi="宋体"/>
                <w:color w:val="000000" w:themeColor="text1"/>
                <w:sz w:val="24"/>
                <w:szCs w:val="24"/>
                <w14:textFill>
                  <w14:solidFill>
                    <w14:schemeClr w14:val="tx1"/>
                  </w14:solidFill>
                </w14:textFill>
              </w:rPr>
            </w:pPr>
          </w:p>
        </w:tc>
        <w:tc>
          <w:tcPr>
            <w:tcW w:w="1300" w:type="dxa"/>
            <w:vAlign w:val="center"/>
          </w:tcPr>
          <w:p w14:paraId="6784DA97">
            <w:pPr>
              <w:widowControl/>
              <w:spacing w:line="360" w:lineRule="auto"/>
              <w:jc w:val="center"/>
              <w:rPr>
                <w:rFonts w:hint="eastAsia"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人员要求</w:t>
            </w:r>
          </w:p>
        </w:tc>
        <w:tc>
          <w:tcPr>
            <w:tcW w:w="6244" w:type="dxa"/>
            <w:vAlign w:val="center"/>
          </w:tcPr>
          <w:p w14:paraId="005A61D1">
            <w:pPr>
              <w:pStyle w:val="7"/>
              <w:numPr>
                <w:ilvl w:val="0"/>
                <w:numId w:val="0"/>
              </w:numPr>
              <w:rPr>
                <w:rFonts w:ascii="宋体" w:hAnsi="宋体"/>
                <w:color w:val="000000" w:themeColor="text1"/>
                <w:sz w:val="24"/>
                <w:szCs w:val="24"/>
                <w14:textFill>
                  <w14:solidFill>
                    <w14:schemeClr w14:val="tx1"/>
                  </w14:solidFill>
                </w14:textFill>
              </w:rPr>
            </w:pPr>
            <w:r>
              <w:rPr>
                <w:rFonts w:hint="eastAsia" w:ascii="宋体" w:hAnsi="宋体" w:eastAsia="宋体" w:cs="宋体"/>
                <w:color w:val="000000"/>
                <w:sz w:val="24"/>
              </w:rPr>
              <w:t>至少有</w:t>
            </w:r>
            <w:r>
              <w:rPr>
                <w:rFonts w:hint="eastAsia" w:ascii="宋体" w:hAnsi="宋体" w:eastAsia="宋体" w:cs="宋体"/>
                <w:color w:val="000000"/>
                <w:sz w:val="24"/>
                <w:lang w:val="en-US" w:eastAsia="zh-CN"/>
              </w:rPr>
              <w:t>2</w:t>
            </w:r>
            <w:r>
              <w:rPr>
                <w:rFonts w:hint="eastAsia" w:ascii="宋体" w:hAnsi="宋体" w:eastAsia="宋体" w:cs="宋体"/>
                <w:color w:val="000000"/>
                <w:sz w:val="24"/>
              </w:rPr>
              <w:t>名具有</w:t>
            </w:r>
            <w:r>
              <w:rPr>
                <w:rFonts w:hint="eastAsia" w:ascii="宋体" w:hAnsi="宋体" w:eastAsia="宋体" w:cs="宋体"/>
                <w:color w:val="000000"/>
                <w:sz w:val="24"/>
                <w:lang w:val="en-US" w:eastAsia="zh-CN"/>
              </w:rPr>
              <w:t>中</w:t>
            </w:r>
            <w:r>
              <w:rPr>
                <w:rFonts w:hint="eastAsia" w:ascii="宋体" w:hAnsi="宋体" w:eastAsia="宋体" w:cs="宋体"/>
                <w:color w:val="000000"/>
                <w:sz w:val="24"/>
              </w:rPr>
              <w:t>级及</w:t>
            </w:r>
            <w:r>
              <w:rPr>
                <w:rFonts w:hint="eastAsia" w:ascii="宋体" w:hAnsi="宋体" w:eastAsia="宋体" w:cs="宋体"/>
                <w:color w:val="000000"/>
                <w:sz w:val="24"/>
                <w:lang w:val="en-US" w:eastAsia="zh-CN"/>
              </w:rPr>
              <w:t>以上病理专</w:t>
            </w:r>
            <w:r>
              <w:rPr>
                <w:rFonts w:hint="eastAsia" w:ascii="宋体" w:hAnsi="宋体" w:eastAsia="宋体" w:cs="宋体"/>
                <w:color w:val="000000"/>
                <w:sz w:val="24"/>
              </w:rPr>
              <w:t>业技术职称任职资格的临床类别执业医师</w:t>
            </w:r>
            <w:r>
              <w:rPr>
                <w:rFonts w:hint="eastAsia" w:ascii="宋体" w:hAnsi="宋体" w:eastAsia="宋体" w:cs="宋体"/>
                <w:color w:val="000000"/>
                <w:sz w:val="24"/>
                <w:szCs w:val="24"/>
              </w:rPr>
              <w:t>。</w:t>
            </w:r>
            <w:r>
              <w:rPr>
                <w:rFonts w:hint="eastAsia" w:ascii="宋体" w:hAnsi="宋体"/>
                <w:color w:val="000000" w:themeColor="text1"/>
                <w:sz w:val="24"/>
                <w:szCs w:val="24"/>
                <w:lang w:val="en-US" w:eastAsia="zh-CN"/>
                <w14:textFill>
                  <w14:solidFill>
                    <w14:schemeClr w14:val="tx1"/>
                  </w14:solidFill>
                </w14:textFill>
              </w:rPr>
              <w:t>最高</w:t>
            </w:r>
            <w:r>
              <w:rPr>
                <w:rFonts w:hint="eastAsia" w:ascii="宋体" w:hAnsi="宋体"/>
                <w:color w:val="000000" w:themeColor="text1"/>
                <w:sz w:val="24"/>
                <w:szCs w:val="24"/>
                <w14:textFill>
                  <w14:solidFill>
                    <w14:schemeClr w14:val="tx1"/>
                  </w14:solidFill>
                </w14:textFill>
              </w:rPr>
              <w:t>得</w:t>
            </w:r>
            <w:r>
              <w:rPr>
                <w:rFonts w:hint="eastAsia" w:ascii="宋体" w:hAnsi="宋体"/>
                <w:color w:val="000000" w:themeColor="text1"/>
                <w:sz w:val="24"/>
                <w:szCs w:val="24"/>
                <w:lang w:val="en-US" w:eastAsia="zh-CN"/>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分，不满足</w:t>
            </w:r>
            <w:r>
              <w:rPr>
                <w:rFonts w:ascii="宋体" w:hAnsi="宋体"/>
                <w:color w:val="000000" w:themeColor="text1"/>
                <w:sz w:val="24"/>
                <w:szCs w:val="24"/>
                <w14:textFill>
                  <w14:solidFill>
                    <w14:schemeClr w14:val="tx1"/>
                  </w14:solidFill>
                </w14:textFill>
              </w:rPr>
              <w:t>不得分。</w:t>
            </w:r>
          </w:p>
          <w:p w14:paraId="308F575F">
            <w:pPr>
              <w:pStyle w:val="7"/>
              <w:numPr>
                <w:ilvl w:val="0"/>
                <w:numId w:val="0"/>
              </w:numPr>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（提供检验技师及以上的证书</w:t>
            </w:r>
            <w:r>
              <w:rPr>
                <w:rFonts w:hint="eastAsia" w:ascii="宋体" w:hAnsi="宋体"/>
                <w:b/>
                <w:bCs/>
                <w:color w:val="000000" w:themeColor="text1"/>
                <w:sz w:val="24"/>
                <w:szCs w:val="24"/>
                <w:lang w:eastAsia="zh-CN"/>
                <w14:textFill>
                  <w14:solidFill>
                    <w14:schemeClr w14:val="tx1"/>
                  </w14:solidFill>
                </w14:textFill>
              </w:rPr>
              <w:t>、</w:t>
            </w:r>
            <w:r>
              <w:rPr>
                <w:rFonts w:hint="eastAsia" w:ascii="宋体" w:hAnsi="宋体"/>
                <w:b/>
                <w:bCs/>
                <w:color w:val="000000" w:themeColor="text1"/>
                <w:sz w:val="24"/>
                <w:szCs w:val="24"/>
                <w:lang w:val="en-US" w:eastAsia="zh-CN"/>
                <w14:textFill>
                  <w14:solidFill>
                    <w14:schemeClr w14:val="tx1"/>
                  </w14:solidFill>
                </w14:textFill>
              </w:rPr>
              <w:t>合同等证明资料</w:t>
            </w:r>
            <w:r>
              <w:rPr>
                <w:rFonts w:ascii="宋体" w:hAnsi="宋体"/>
                <w:b/>
                <w:bCs/>
                <w:color w:val="000000" w:themeColor="text1"/>
                <w:sz w:val="24"/>
                <w:szCs w:val="24"/>
                <w14:textFill>
                  <w14:solidFill>
                    <w14:schemeClr w14:val="tx1"/>
                  </w14:solidFill>
                </w14:textFill>
              </w:rPr>
              <w:t>）</w:t>
            </w:r>
          </w:p>
        </w:tc>
        <w:tc>
          <w:tcPr>
            <w:tcW w:w="1463" w:type="dxa"/>
            <w:vAlign w:val="center"/>
          </w:tcPr>
          <w:p w14:paraId="42E5B1CF">
            <w:pPr>
              <w:widowControl/>
              <w:spacing w:line="360" w:lineRule="auto"/>
              <w:ind w:left="-140" w:leftChars="-50" w:right="-140" w:rightChars="-50"/>
              <w:jc w:val="center"/>
              <w:rPr>
                <w:rFonts w:hint="eastAsia" w:ascii="宋体" w:hAnsi="宋体"/>
                <w:b/>
                <w:bCs/>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分</w:t>
            </w:r>
          </w:p>
        </w:tc>
      </w:tr>
      <w:tr w14:paraId="036B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3" w:hRule="atLeast"/>
          <w:jc w:val="center"/>
        </w:trPr>
        <w:tc>
          <w:tcPr>
            <w:tcW w:w="1556" w:type="dxa"/>
            <w:vMerge w:val="continue"/>
            <w:vAlign w:val="center"/>
          </w:tcPr>
          <w:p w14:paraId="37115711">
            <w:pPr>
              <w:adjustRightInd w:val="0"/>
              <w:snapToGrid w:val="0"/>
              <w:spacing w:line="360" w:lineRule="auto"/>
              <w:jc w:val="center"/>
              <w:rPr>
                <w:rFonts w:ascii="宋体" w:hAnsi="宋体"/>
                <w:color w:val="000000" w:themeColor="text1"/>
                <w:sz w:val="24"/>
                <w:szCs w:val="24"/>
                <w14:textFill>
                  <w14:solidFill>
                    <w14:schemeClr w14:val="tx1"/>
                  </w14:solidFill>
                </w14:textFill>
              </w:rPr>
            </w:pPr>
          </w:p>
        </w:tc>
        <w:tc>
          <w:tcPr>
            <w:tcW w:w="1300" w:type="dxa"/>
            <w:vAlign w:val="center"/>
          </w:tcPr>
          <w:p w14:paraId="12A120A0">
            <w:pPr>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pacing w:val="6"/>
                <w:sz w:val="24"/>
                <w:szCs w:val="24"/>
                <w14:textFill>
                  <w14:solidFill>
                    <w14:schemeClr w14:val="tx1"/>
                  </w14:solidFill>
                </w14:textFill>
              </w:rPr>
              <w:t>人工智能和大数据技术</w:t>
            </w:r>
          </w:p>
        </w:tc>
        <w:tc>
          <w:tcPr>
            <w:tcW w:w="6244" w:type="dxa"/>
            <w:vAlign w:val="center"/>
          </w:tcPr>
          <w:p w14:paraId="1012FA5C">
            <w:pPr>
              <w:spacing w:line="360" w:lineRule="auto"/>
              <w:rPr>
                <w:rFonts w:hint="eastAsia" w:ascii="宋体" w:hAnsi="宋体" w:cs="宋体"/>
                <w:color w:val="000000" w:themeColor="text1"/>
                <w:spacing w:val="6"/>
                <w:sz w:val="24"/>
                <w:szCs w:val="24"/>
                <w:lang w:eastAsia="zh-CN"/>
                <w14:textFill>
                  <w14:solidFill>
                    <w14:schemeClr w14:val="tx1"/>
                  </w14:solidFill>
                </w14:textFill>
              </w:rPr>
            </w:pPr>
            <w:r>
              <w:rPr>
                <w:rFonts w:hint="eastAsia" w:ascii="宋体" w:hAnsi="宋体" w:cs="宋体"/>
                <w:color w:val="000000" w:themeColor="text1"/>
                <w:spacing w:val="6"/>
                <w:sz w:val="24"/>
                <w:szCs w:val="24"/>
                <w14:textFill>
                  <w14:solidFill>
                    <w14:schemeClr w14:val="tx1"/>
                  </w14:solidFill>
                </w14:textFill>
              </w:rPr>
              <w:t>利用人工智能和大数据技术，实现细胞病理数据自动化、智能化分析与诊断服务人群近年自202</w:t>
            </w:r>
            <w:r>
              <w:rPr>
                <w:rFonts w:hint="eastAsia" w:ascii="宋体" w:hAnsi="宋体" w:cs="宋体"/>
                <w:color w:val="000000" w:themeColor="text1"/>
                <w:spacing w:val="6"/>
                <w:sz w:val="24"/>
                <w:szCs w:val="24"/>
                <w:lang w:val="en-US" w:eastAsia="zh-CN"/>
                <w14:textFill>
                  <w14:solidFill>
                    <w14:schemeClr w14:val="tx1"/>
                  </w14:solidFill>
                </w14:textFill>
              </w:rPr>
              <w:t>2</w:t>
            </w:r>
            <w:r>
              <w:rPr>
                <w:rFonts w:hint="eastAsia" w:ascii="宋体" w:hAnsi="宋体" w:cs="宋体"/>
                <w:color w:val="000000" w:themeColor="text1"/>
                <w:spacing w:val="6"/>
                <w:sz w:val="24"/>
                <w:szCs w:val="24"/>
                <w14:textFill>
                  <w14:solidFill>
                    <w14:schemeClr w14:val="tx1"/>
                  </w14:solidFill>
                </w14:textFill>
              </w:rPr>
              <w:t>至今开标之日止超过</w:t>
            </w:r>
            <w:r>
              <w:rPr>
                <w:rFonts w:hint="eastAsia" w:ascii="宋体" w:hAnsi="宋体" w:cs="宋体"/>
                <w:color w:val="000000" w:themeColor="text1"/>
                <w:spacing w:val="6"/>
                <w:sz w:val="24"/>
                <w:szCs w:val="24"/>
                <w:lang w:val="en-US" w:eastAsia="zh-CN"/>
                <w14:textFill>
                  <w14:solidFill>
                    <w14:schemeClr w14:val="tx1"/>
                  </w14:solidFill>
                </w14:textFill>
              </w:rPr>
              <w:t>100</w:t>
            </w:r>
            <w:r>
              <w:rPr>
                <w:rFonts w:hint="eastAsia" w:ascii="宋体" w:hAnsi="宋体" w:cs="宋体"/>
                <w:color w:val="000000" w:themeColor="text1"/>
                <w:spacing w:val="6"/>
                <w:sz w:val="24"/>
                <w:szCs w:val="24"/>
                <w14:textFill>
                  <w14:solidFill>
                    <w14:schemeClr w14:val="tx1"/>
                  </w14:solidFill>
                </w14:textFill>
              </w:rPr>
              <w:t>万人次的得</w:t>
            </w:r>
            <w:r>
              <w:rPr>
                <w:rFonts w:hint="eastAsia" w:ascii="宋体" w:hAnsi="宋体" w:cs="宋体"/>
                <w:color w:val="000000" w:themeColor="text1"/>
                <w:spacing w:val="6"/>
                <w:sz w:val="24"/>
                <w:szCs w:val="24"/>
                <w:lang w:val="en-US" w:eastAsia="zh-CN"/>
                <w14:textFill>
                  <w14:solidFill>
                    <w14:schemeClr w14:val="tx1"/>
                  </w14:solidFill>
                </w14:textFill>
              </w:rPr>
              <w:t>1</w:t>
            </w:r>
            <w:r>
              <w:rPr>
                <w:rFonts w:hint="eastAsia" w:ascii="宋体" w:hAnsi="宋体" w:cs="宋体"/>
                <w:color w:val="000000" w:themeColor="text1"/>
                <w:spacing w:val="6"/>
                <w:sz w:val="24"/>
                <w:szCs w:val="24"/>
                <w14:textFill>
                  <w14:solidFill>
                    <w14:schemeClr w14:val="tx1"/>
                  </w14:solidFill>
                </w14:textFill>
              </w:rPr>
              <w:t>分，超过</w:t>
            </w:r>
            <w:r>
              <w:rPr>
                <w:rFonts w:hint="eastAsia" w:ascii="宋体" w:hAnsi="宋体" w:cs="宋体"/>
                <w:color w:val="000000" w:themeColor="text1"/>
                <w:spacing w:val="6"/>
                <w:sz w:val="24"/>
                <w:szCs w:val="24"/>
                <w:lang w:val="en-US" w:eastAsia="zh-CN"/>
                <w14:textFill>
                  <w14:solidFill>
                    <w14:schemeClr w14:val="tx1"/>
                  </w14:solidFill>
                </w14:textFill>
              </w:rPr>
              <w:t>300</w:t>
            </w:r>
            <w:r>
              <w:rPr>
                <w:rFonts w:hint="eastAsia" w:ascii="宋体" w:hAnsi="宋体" w:cs="宋体"/>
                <w:color w:val="000000" w:themeColor="text1"/>
                <w:spacing w:val="6"/>
                <w:sz w:val="24"/>
                <w:szCs w:val="24"/>
                <w14:textFill>
                  <w14:solidFill>
                    <w14:schemeClr w14:val="tx1"/>
                  </w14:solidFill>
                </w14:textFill>
              </w:rPr>
              <w:t>万人次的得</w:t>
            </w:r>
            <w:r>
              <w:rPr>
                <w:rFonts w:hint="eastAsia" w:ascii="宋体" w:hAnsi="宋体" w:cs="宋体"/>
                <w:color w:val="000000" w:themeColor="text1"/>
                <w:spacing w:val="6"/>
                <w:sz w:val="24"/>
                <w:szCs w:val="24"/>
                <w:lang w:val="en-US" w:eastAsia="zh-CN"/>
                <w14:textFill>
                  <w14:solidFill>
                    <w14:schemeClr w14:val="tx1"/>
                  </w14:solidFill>
                </w14:textFill>
              </w:rPr>
              <w:t>2.5</w:t>
            </w:r>
            <w:r>
              <w:rPr>
                <w:rFonts w:hint="eastAsia" w:ascii="宋体" w:hAnsi="宋体" w:cs="宋体"/>
                <w:color w:val="000000" w:themeColor="text1"/>
                <w:spacing w:val="6"/>
                <w:sz w:val="24"/>
                <w:szCs w:val="24"/>
                <w14:textFill>
                  <w14:solidFill>
                    <w14:schemeClr w14:val="tx1"/>
                  </w14:solidFill>
                </w14:textFill>
              </w:rPr>
              <w:t>分，超过</w:t>
            </w:r>
            <w:r>
              <w:rPr>
                <w:rFonts w:hint="eastAsia" w:ascii="宋体" w:hAnsi="宋体" w:cs="宋体"/>
                <w:color w:val="000000" w:themeColor="text1"/>
                <w:spacing w:val="6"/>
                <w:sz w:val="24"/>
                <w:szCs w:val="24"/>
                <w:lang w:val="en-US" w:eastAsia="zh-CN"/>
                <w14:textFill>
                  <w14:solidFill>
                    <w14:schemeClr w14:val="tx1"/>
                  </w14:solidFill>
                </w14:textFill>
              </w:rPr>
              <w:t>6</w:t>
            </w:r>
            <w:r>
              <w:rPr>
                <w:rFonts w:hint="eastAsia" w:ascii="宋体" w:hAnsi="宋体" w:cs="宋体"/>
                <w:color w:val="000000" w:themeColor="text1"/>
                <w:spacing w:val="6"/>
                <w:sz w:val="24"/>
                <w:szCs w:val="24"/>
                <w14:textFill>
                  <w14:solidFill>
                    <w14:schemeClr w14:val="tx1"/>
                  </w14:solidFill>
                </w14:textFill>
              </w:rPr>
              <w:t>00万人次的得</w:t>
            </w:r>
            <w:r>
              <w:rPr>
                <w:rFonts w:hint="eastAsia" w:ascii="宋体" w:hAnsi="宋体" w:cs="宋体"/>
                <w:color w:val="000000" w:themeColor="text1"/>
                <w:spacing w:val="6"/>
                <w:sz w:val="24"/>
                <w:szCs w:val="24"/>
                <w:lang w:val="en-US" w:eastAsia="zh-CN"/>
                <w14:textFill>
                  <w14:solidFill>
                    <w14:schemeClr w14:val="tx1"/>
                  </w14:solidFill>
                </w14:textFill>
              </w:rPr>
              <w:t>5</w:t>
            </w:r>
            <w:r>
              <w:rPr>
                <w:rFonts w:hint="eastAsia" w:ascii="宋体" w:hAnsi="宋体" w:cs="宋体"/>
                <w:color w:val="000000" w:themeColor="text1"/>
                <w:spacing w:val="6"/>
                <w:sz w:val="24"/>
                <w:szCs w:val="24"/>
                <w14:textFill>
                  <w14:solidFill>
                    <w14:schemeClr w14:val="tx1"/>
                  </w14:solidFill>
                </w14:textFill>
              </w:rPr>
              <w:t>分</w:t>
            </w:r>
            <w:r>
              <w:rPr>
                <w:rFonts w:hint="eastAsia" w:ascii="宋体" w:hAnsi="宋体" w:cs="宋体"/>
                <w:color w:val="000000" w:themeColor="text1"/>
                <w:spacing w:val="6"/>
                <w:sz w:val="24"/>
                <w:szCs w:val="24"/>
                <w:lang w:eastAsia="zh-CN"/>
                <w14:textFill>
                  <w14:solidFill>
                    <w14:schemeClr w14:val="tx1"/>
                  </w14:solidFill>
                </w14:textFill>
              </w:rPr>
              <w:t>。</w:t>
            </w:r>
          </w:p>
          <w:p w14:paraId="747B9ABA">
            <w:pPr>
              <w:spacing w:line="360" w:lineRule="auto"/>
              <w:rPr>
                <w:rFonts w:ascii="宋体" w:hAnsi="宋体"/>
                <w:color w:val="000000" w:themeColor="text1"/>
                <w:sz w:val="24"/>
                <w:szCs w:val="24"/>
                <w14:textFill>
                  <w14:solidFill>
                    <w14:schemeClr w14:val="tx1"/>
                  </w14:solidFill>
                </w14:textFill>
              </w:rPr>
            </w:pPr>
            <w:r>
              <w:rPr>
                <w:rFonts w:ascii="宋体" w:hAnsi="宋体"/>
                <w:b/>
                <w:bCs/>
                <w:color w:val="000000" w:themeColor="text1"/>
                <w:sz w:val="24"/>
                <w:szCs w:val="24"/>
                <w14:textFill>
                  <w14:solidFill>
                    <w14:schemeClr w14:val="tx1"/>
                  </w14:solidFill>
                </w14:textFill>
              </w:rPr>
              <w:t>（提供</w:t>
            </w:r>
            <w:r>
              <w:rPr>
                <w:rFonts w:hint="eastAsia" w:ascii="宋体" w:hAnsi="宋体"/>
                <w:b/>
                <w:bCs/>
                <w:color w:val="000000" w:themeColor="text1"/>
                <w:sz w:val="24"/>
                <w:szCs w:val="24"/>
                <w:lang w:val="en-US" w:eastAsia="zh-CN"/>
                <w14:textFill>
                  <w14:solidFill>
                    <w14:schemeClr w14:val="tx1"/>
                  </w14:solidFill>
                </w14:textFill>
              </w:rPr>
              <w:t>证明文件并加盖公章</w:t>
            </w:r>
            <w:r>
              <w:rPr>
                <w:rFonts w:hint="eastAsia" w:ascii="宋体" w:hAnsi="宋体"/>
                <w:b/>
                <w:bCs/>
                <w:color w:val="000000" w:themeColor="text1"/>
                <w:sz w:val="24"/>
                <w:szCs w:val="24"/>
                <w14:textFill>
                  <w14:solidFill>
                    <w14:schemeClr w14:val="tx1"/>
                  </w14:solidFill>
                </w14:textFill>
              </w:rPr>
              <w:t>）</w:t>
            </w:r>
          </w:p>
        </w:tc>
        <w:tc>
          <w:tcPr>
            <w:tcW w:w="1463" w:type="dxa"/>
            <w:vAlign w:val="center"/>
          </w:tcPr>
          <w:p w14:paraId="6B931456">
            <w:pPr>
              <w:widowControl/>
              <w:spacing w:line="360" w:lineRule="auto"/>
              <w:ind w:left="-140" w:leftChars="-50" w:right="-140" w:rightChars="-50"/>
              <w:jc w:val="center"/>
              <w:rPr>
                <w:rFonts w:ascii="宋体" w:hAnsi="宋体"/>
                <w:b/>
                <w:bCs/>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5分</w:t>
            </w:r>
          </w:p>
        </w:tc>
      </w:tr>
      <w:tr w14:paraId="325F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1556" w:type="dxa"/>
            <w:vMerge w:val="continue"/>
            <w:vAlign w:val="center"/>
          </w:tcPr>
          <w:p w14:paraId="21C8F803">
            <w:pPr>
              <w:adjustRightInd w:val="0"/>
              <w:snapToGrid w:val="0"/>
              <w:spacing w:line="360" w:lineRule="auto"/>
              <w:jc w:val="center"/>
              <w:rPr>
                <w:rFonts w:ascii="宋体" w:hAnsi="宋体"/>
                <w:color w:val="000000" w:themeColor="text1"/>
                <w:sz w:val="24"/>
                <w:szCs w:val="24"/>
                <w14:textFill>
                  <w14:solidFill>
                    <w14:schemeClr w14:val="tx1"/>
                  </w14:solidFill>
                </w14:textFill>
              </w:rPr>
            </w:pPr>
          </w:p>
        </w:tc>
        <w:tc>
          <w:tcPr>
            <w:tcW w:w="1300" w:type="dxa"/>
            <w:vAlign w:val="center"/>
          </w:tcPr>
          <w:p w14:paraId="54905801">
            <w:pPr>
              <w:spacing w:line="360" w:lineRule="auto"/>
              <w:ind w:left="-140" w:leftChars="-50" w:right="-140" w:rightChars="-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数据分析</w:t>
            </w:r>
          </w:p>
          <w:p w14:paraId="3BA29ED5">
            <w:pPr>
              <w:spacing w:line="360" w:lineRule="auto"/>
              <w:ind w:left="-140" w:leftChars="-50" w:right="-140" w:rightChars="-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追踪管理</w:t>
            </w:r>
          </w:p>
        </w:tc>
        <w:tc>
          <w:tcPr>
            <w:tcW w:w="6244" w:type="dxa"/>
            <w:vAlign w:val="center"/>
          </w:tcPr>
          <w:p w14:paraId="727A2392">
            <w:pPr>
              <w:autoSpaceDE w:val="0"/>
              <w:autoSpaceDN w:val="0"/>
              <w:adjustRightInd w:val="0"/>
              <w:snapToGrid w:val="0"/>
              <w:spacing w:line="360" w:lineRule="auto"/>
              <w:ind w:right="71" w:rightChars="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投标人具备独立的宫颈筛查数据分析系统和病理结果追踪管理系统，结果可通过接口方式推送给相关单位，便于项目主管部门的统一监督管理，提供</w:t>
            </w:r>
            <w:r>
              <w:rPr>
                <w:rFonts w:ascii="宋体" w:hAnsi="宋体"/>
                <w:color w:val="000000" w:themeColor="text1"/>
                <w:sz w:val="24"/>
                <w:szCs w:val="24"/>
                <w14:textFill>
                  <w14:solidFill>
                    <w14:schemeClr w14:val="tx1"/>
                  </w14:solidFill>
                </w14:textFill>
              </w:rPr>
              <w:t>相关证明文件</w:t>
            </w:r>
            <w:r>
              <w:rPr>
                <w:rFonts w:hint="eastAsia" w:ascii="宋体" w:hAnsi="宋体"/>
                <w:color w:val="000000" w:themeColor="text1"/>
                <w:sz w:val="24"/>
                <w:szCs w:val="24"/>
                <w14:textFill>
                  <w14:solidFill>
                    <w14:schemeClr w14:val="tx1"/>
                  </w14:solidFill>
                </w14:textFill>
              </w:rPr>
              <w:t>得</w:t>
            </w: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分</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不满足</w:t>
            </w:r>
            <w:r>
              <w:rPr>
                <w:rFonts w:ascii="宋体" w:hAnsi="宋体"/>
                <w:color w:val="000000" w:themeColor="text1"/>
                <w:sz w:val="24"/>
                <w:szCs w:val="24"/>
                <w14:textFill>
                  <w14:solidFill>
                    <w14:schemeClr w14:val="tx1"/>
                  </w14:solidFill>
                </w14:textFill>
              </w:rPr>
              <w:t>不得分。</w:t>
            </w:r>
          </w:p>
        </w:tc>
        <w:tc>
          <w:tcPr>
            <w:tcW w:w="1463" w:type="dxa"/>
            <w:vAlign w:val="center"/>
          </w:tcPr>
          <w:p w14:paraId="5A0F38ED">
            <w:pPr>
              <w:widowControl/>
              <w:spacing w:line="360" w:lineRule="auto"/>
              <w:ind w:left="-140" w:leftChars="-50" w:right="-140" w:rightChars="-50"/>
              <w:jc w:val="center"/>
              <w:rPr>
                <w:rFonts w:hint="eastAsia"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分</w:t>
            </w:r>
          </w:p>
        </w:tc>
      </w:tr>
      <w:tr w14:paraId="2857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1556" w:type="dxa"/>
            <w:vMerge w:val="continue"/>
            <w:vAlign w:val="center"/>
          </w:tcPr>
          <w:p w14:paraId="558014F9">
            <w:pPr>
              <w:adjustRightInd w:val="0"/>
              <w:snapToGrid w:val="0"/>
              <w:spacing w:line="360" w:lineRule="auto"/>
              <w:jc w:val="center"/>
              <w:rPr>
                <w:rFonts w:ascii="宋体" w:hAnsi="宋体"/>
                <w:color w:val="000000" w:themeColor="text1"/>
                <w:sz w:val="24"/>
                <w:szCs w:val="24"/>
                <w14:textFill>
                  <w14:solidFill>
                    <w14:schemeClr w14:val="tx1"/>
                  </w14:solidFill>
                </w14:textFill>
              </w:rPr>
            </w:pPr>
          </w:p>
        </w:tc>
        <w:tc>
          <w:tcPr>
            <w:tcW w:w="1300" w:type="dxa"/>
            <w:vAlign w:val="center"/>
          </w:tcPr>
          <w:p w14:paraId="6BAEB047">
            <w:pPr>
              <w:widowControl/>
              <w:spacing w:line="360" w:lineRule="auto"/>
              <w:jc w:val="center"/>
              <w:rPr>
                <w:rFonts w:hint="eastAsia" w:ascii="宋体" w:hAnsi="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敏感性和特异性</w:t>
            </w:r>
          </w:p>
        </w:tc>
        <w:tc>
          <w:tcPr>
            <w:tcW w:w="6244" w:type="dxa"/>
            <w:vAlign w:val="center"/>
          </w:tcPr>
          <w:p w14:paraId="7A2FFF63">
            <w:pPr>
              <w:widowControl/>
              <w:spacing w:line="360" w:lineRule="auto"/>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检测方法的检测敏感性、特异性均达到90%（含）以上的得</w:t>
            </w:r>
            <w:r>
              <w:rPr>
                <w:rFonts w:hint="eastAsia" w:cs="宋体"/>
                <w:color w:val="000000" w:themeColor="text1"/>
                <w:sz w:val="24"/>
                <w:szCs w:val="24"/>
                <w:lang w:val="en-US" w:eastAsia="zh-CN"/>
                <w14:textFill>
                  <w14:solidFill>
                    <w14:schemeClr w14:val="tx1"/>
                  </w14:solidFill>
                </w14:textFill>
              </w:rPr>
              <w:t>4</w:t>
            </w:r>
            <w:r>
              <w:rPr>
                <w:rFonts w:hint="eastAsia" w:cs="宋体"/>
                <w:color w:val="000000" w:themeColor="text1"/>
                <w:sz w:val="24"/>
                <w:szCs w:val="24"/>
                <w14:textFill>
                  <w14:solidFill>
                    <w14:schemeClr w14:val="tx1"/>
                  </w14:solidFill>
                </w14:textFill>
              </w:rPr>
              <w:t>分,达不到不得分。</w:t>
            </w:r>
          </w:p>
          <w:p w14:paraId="54CD3E94">
            <w:pPr>
              <w:widowControl/>
              <w:spacing w:line="360" w:lineRule="auto"/>
              <w:rPr>
                <w:rFonts w:hint="eastAsia" w:ascii="宋体" w:hAnsi="宋体"/>
                <w:color w:val="000000" w:themeColor="text1"/>
                <w:sz w:val="24"/>
                <w:szCs w:val="24"/>
                <w14:textFill>
                  <w14:solidFill>
                    <w14:schemeClr w14:val="tx1"/>
                  </w14:solidFill>
                </w14:textFill>
              </w:rPr>
            </w:pPr>
            <w:r>
              <w:rPr>
                <w:rFonts w:hint="eastAsia" w:cs="宋体"/>
                <w:b/>
                <w:bCs/>
                <w:color w:val="000000" w:themeColor="text1"/>
                <w:sz w:val="24"/>
                <w:szCs w:val="24"/>
                <w14:textFill>
                  <w14:solidFill>
                    <w14:schemeClr w14:val="tx1"/>
                  </w14:solidFill>
                </w14:textFill>
              </w:rPr>
              <w:t>（以该方法在医疗、检验相关核心期刊发表的资料扫描件加盖公章为准，未提供或未按要求提供不得分）。</w:t>
            </w:r>
          </w:p>
        </w:tc>
        <w:tc>
          <w:tcPr>
            <w:tcW w:w="1463" w:type="dxa"/>
            <w:vAlign w:val="center"/>
          </w:tcPr>
          <w:p w14:paraId="0D333DE0">
            <w:pPr>
              <w:widowControl/>
              <w:spacing w:line="360" w:lineRule="auto"/>
              <w:ind w:left="-140" w:leftChars="-50" w:right="-140" w:rightChars="-50"/>
              <w:jc w:val="center"/>
              <w:rPr>
                <w:rFonts w:hint="eastAsia" w:cs="宋体"/>
                <w:b/>
                <w:bCs/>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分</w:t>
            </w:r>
          </w:p>
        </w:tc>
      </w:tr>
      <w:tr w14:paraId="4751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1556" w:type="dxa"/>
            <w:vMerge w:val="continue"/>
            <w:vAlign w:val="center"/>
          </w:tcPr>
          <w:p w14:paraId="5378FBF7">
            <w:pPr>
              <w:adjustRightInd w:val="0"/>
              <w:snapToGrid w:val="0"/>
              <w:spacing w:line="360" w:lineRule="auto"/>
              <w:jc w:val="center"/>
              <w:rPr>
                <w:rFonts w:ascii="宋体" w:hAnsi="宋体"/>
                <w:color w:val="000000" w:themeColor="text1"/>
                <w:sz w:val="24"/>
                <w:szCs w:val="24"/>
                <w14:textFill>
                  <w14:solidFill>
                    <w14:schemeClr w14:val="tx1"/>
                  </w14:solidFill>
                </w14:textFill>
              </w:rPr>
            </w:pPr>
          </w:p>
        </w:tc>
        <w:tc>
          <w:tcPr>
            <w:tcW w:w="1300" w:type="dxa"/>
            <w:shd w:val="clear" w:color="auto" w:fill="auto"/>
            <w:vAlign w:val="center"/>
          </w:tcPr>
          <w:p w14:paraId="562171A7">
            <w:pPr>
              <w:spacing w:line="360" w:lineRule="auto"/>
              <w:ind w:left="-140" w:leftChars="-50" w:right="-140" w:rightChars="-50"/>
              <w:jc w:val="center"/>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仪器</w:t>
            </w:r>
            <w:r>
              <w:rPr>
                <w:rFonts w:ascii="宋体" w:hAnsi="宋体"/>
                <w:color w:val="000000" w:themeColor="text1"/>
                <w:sz w:val="24"/>
                <w:szCs w:val="24"/>
                <w14:textFill>
                  <w14:solidFill>
                    <w14:schemeClr w14:val="tx1"/>
                  </w14:solidFill>
                </w14:textFill>
              </w:rPr>
              <w:t>设备</w:t>
            </w:r>
            <w:r>
              <w:rPr>
                <w:rFonts w:hint="eastAsia" w:ascii="宋体" w:hAnsi="宋体"/>
                <w:color w:val="000000" w:themeColor="text1"/>
                <w:sz w:val="24"/>
                <w:szCs w:val="24"/>
                <w:lang w:val="en-US" w:eastAsia="zh-CN"/>
                <w14:textFill>
                  <w14:solidFill>
                    <w14:schemeClr w14:val="tx1"/>
                  </w14:solidFill>
                </w14:textFill>
              </w:rPr>
              <w:t>及检测试剂</w:t>
            </w:r>
          </w:p>
        </w:tc>
        <w:tc>
          <w:tcPr>
            <w:tcW w:w="6244" w:type="dxa"/>
            <w:shd w:val="clear" w:color="auto" w:fill="auto"/>
            <w:vAlign w:val="center"/>
          </w:tcPr>
          <w:p w14:paraId="7B28E1A1">
            <w:pPr>
              <w:numPr>
                <w:ilvl w:val="0"/>
                <w:numId w:val="0"/>
              </w:numPr>
              <w:autoSpaceDE w:val="0"/>
              <w:autoSpaceDN w:val="0"/>
              <w:adjustRightInd w:val="0"/>
              <w:snapToGrid w:val="0"/>
              <w:spacing w:line="360" w:lineRule="auto"/>
              <w:ind w:right="71" w:rightChars="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1</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投标人</w:t>
            </w:r>
            <w:r>
              <w:rPr>
                <w:rFonts w:ascii="宋体" w:hAnsi="宋体"/>
                <w:color w:val="000000" w:themeColor="text1"/>
                <w:sz w:val="24"/>
                <w:szCs w:val="24"/>
                <w14:textFill>
                  <w14:solidFill>
                    <w14:schemeClr w14:val="tx1"/>
                  </w14:solidFill>
                </w14:textFill>
              </w:rPr>
              <w:t>具有与检测方法相匹配的</w:t>
            </w:r>
            <w:r>
              <w:rPr>
                <w:rFonts w:hint="eastAsia" w:ascii="宋体" w:hAnsi="宋体"/>
                <w:color w:val="000000" w:themeColor="text1"/>
                <w:sz w:val="24"/>
                <w:szCs w:val="24"/>
                <w14:textFill>
                  <w14:solidFill>
                    <w14:schemeClr w14:val="tx1"/>
                  </w14:solidFill>
                </w14:textFill>
              </w:rPr>
              <w:t>仪器</w:t>
            </w:r>
            <w:r>
              <w:rPr>
                <w:rFonts w:ascii="宋体" w:hAnsi="宋体"/>
                <w:color w:val="000000" w:themeColor="text1"/>
                <w:sz w:val="24"/>
                <w:szCs w:val="24"/>
                <w14:textFill>
                  <w14:solidFill>
                    <w14:schemeClr w14:val="tx1"/>
                  </w14:solidFill>
                </w14:textFill>
              </w:rPr>
              <w:t>设备</w:t>
            </w:r>
            <w:r>
              <w:rPr>
                <w:rFonts w:hint="eastAsia" w:ascii="宋体" w:hAnsi="宋体"/>
                <w:color w:val="000000" w:themeColor="text1"/>
                <w:sz w:val="24"/>
                <w:szCs w:val="24"/>
                <w14:textFill>
                  <w14:solidFill>
                    <w14:schemeClr w14:val="tx1"/>
                  </w14:solidFill>
                </w14:textFill>
              </w:rPr>
              <w:t>，须</w:t>
            </w:r>
            <w:r>
              <w:rPr>
                <w:rFonts w:ascii="宋体" w:hAnsi="宋体"/>
                <w:color w:val="000000" w:themeColor="text1"/>
                <w:sz w:val="24"/>
                <w:szCs w:val="24"/>
                <w14:textFill>
                  <w14:solidFill>
                    <w14:schemeClr w14:val="tx1"/>
                  </w14:solidFill>
                </w14:textFill>
              </w:rPr>
              <w:t>提供仪器注册证</w:t>
            </w:r>
            <w:r>
              <w:rPr>
                <w:rFonts w:hint="eastAsia" w:ascii="宋体" w:hAnsi="宋体"/>
                <w:color w:val="000000" w:themeColor="text1"/>
                <w:sz w:val="24"/>
                <w:szCs w:val="24"/>
                <w14:textFill>
                  <w14:solidFill>
                    <w14:schemeClr w14:val="tx1"/>
                  </w14:solidFill>
                </w14:textFill>
              </w:rPr>
              <w:t>得</w:t>
            </w:r>
            <w:r>
              <w:rPr>
                <w:rFonts w:hint="eastAsia" w:ascii="宋体" w:hAnsi="宋体"/>
                <w:color w:val="000000" w:themeColor="text1"/>
                <w:sz w:val="24"/>
                <w:szCs w:val="24"/>
                <w:lang w:val="en-US" w:eastAsia="zh-CN"/>
                <w14:textFill>
                  <w14:solidFill>
                    <w14:schemeClr w14:val="tx1"/>
                  </w14:solidFill>
                </w14:textFill>
              </w:rPr>
              <w:t>2.5</w:t>
            </w:r>
            <w:r>
              <w:rPr>
                <w:rFonts w:hint="eastAsia" w:ascii="宋体" w:hAnsi="宋体"/>
                <w:color w:val="000000" w:themeColor="text1"/>
                <w:sz w:val="24"/>
                <w:szCs w:val="24"/>
                <w14:textFill>
                  <w14:solidFill>
                    <w14:schemeClr w14:val="tx1"/>
                  </w14:solidFill>
                </w14:textFill>
              </w:rPr>
              <w:t>分</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不满足</w:t>
            </w:r>
            <w:r>
              <w:rPr>
                <w:rFonts w:ascii="宋体" w:hAnsi="宋体"/>
                <w:color w:val="000000" w:themeColor="text1"/>
                <w:sz w:val="24"/>
                <w:szCs w:val="24"/>
                <w14:textFill>
                  <w14:solidFill>
                    <w14:schemeClr w14:val="tx1"/>
                  </w14:solidFill>
                </w14:textFill>
              </w:rPr>
              <w:t>不得分。</w:t>
            </w:r>
          </w:p>
          <w:p w14:paraId="336C809B">
            <w:pPr>
              <w:pStyle w:val="2"/>
              <w:numPr>
                <w:ilvl w:val="0"/>
                <w:numId w:val="0"/>
              </w:numPr>
              <w:spacing w:line="360" w:lineRule="auto"/>
              <w:ind w:left="0" w:leftChars="0" w:firstLine="0" w:firstLineChars="0"/>
              <w:rPr>
                <w:rFonts w:hint="eastAsia" w:ascii="Calibri" w:hAnsi="Calibri" w:eastAsia="宋体" w:cs="Times New Roman"/>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r>
              <w:rPr>
                <w:rFonts w:hint="eastAsia" w:ascii="宋体" w:hAnsi="宋体" w:cs="宋体"/>
                <w:color w:val="000000" w:themeColor="text1"/>
                <w:spacing w:val="6"/>
                <w:sz w:val="24"/>
                <w:szCs w:val="24"/>
                <w14:textFill>
                  <w14:solidFill>
                    <w14:schemeClr w14:val="tx1"/>
                  </w14:solidFill>
                </w14:textFill>
              </w:rPr>
              <w:t>采用国家食品药品监督管理部门注册批准的临床检测方法、试剂盒及相应配套产品</w:t>
            </w:r>
            <w:r>
              <w:rPr>
                <w:rFonts w:hint="eastAsia" w:ascii="宋体" w:hAnsi="宋体" w:cs="宋体"/>
                <w:color w:val="000000" w:themeColor="text1"/>
                <w:spacing w:val="6"/>
                <w:sz w:val="24"/>
                <w:szCs w:val="24"/>
                <w:lang w:val="en-US" w:eastAsia="zh-CN"/>
                <w14:textFill>
                  <w14:solidFill>
                    <w14:schemeClr w14:val="tx1"/>
                  </w14:solidFill>
                </w14:textFill>
              </w:rPr>
              <w:t>并提供对应的注册证或备案证明资料得2.5分</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不满足</w:t>
            </w:r>
            <w:r>
              <w:rPr>
                <w:rFonts w:ascii="宋体" w:hAnsi="宋体"/>
                <w:color w:val="000000" w:themeColor="text1"/>
                <w:sz w:val="24"/>
                <w:szCs w:val="24"/>
                <w14:textFill>
                  <w14:solidFill>
                    <w14:schemeClr w14:val="tx1"/>
                  </w14:solidFill>
                </w14:textFill>
              </w:rPr>
              <w:t>不得分。</w:t>
            </w:r>
          </w:p>
        </w:tc>
        <w:tc>
          <w:tcPr>
            <w:tcW w:w="1463" w:type="dxa"/>
            <w:shd w:val="clear" w:color="auto" w:fill="auto"/>
            <w:vAlign w:val="center"/>
          </w:tcPr>
          <w:p w14:paraId="575534AE">
            <w:pPr>
              <w:widowControl/>
              <w:spacing w:line="360" w:lineRule="auto"/>
              <w:ind w:left="-140" w:leftChars="-50" w:right="-140" w:rightChars="-50"/>
              <w:jc w:val="center"/>
              <w:rPr>
                <w:rFonts w:hint="eastAsia"/>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分</w:t>
            </w:r>
          </w:p>
        </w:tc>
      </w:tr>
      <w:tr w14:paraId="25F3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1556" w:type="dxa"/>
            <w:vMerge w:val="continue"/>
            <w:vAlign w:val="center"/>
          </w:tcPr>
          <w:p w14:paraId="5E31F321">
            <w:pPr>
              <w:adjustRightInd w:val="0"/>
              <w:snapToGrid w:val="0"/>
              <w:spacing w:line="360" w:lineRule="auto"/>
              <w:jc w:val="center"/>
              <w:rPr>
                <w:rFonts w:ascii="宋体" w:hAnsi="宋体"/>
                <w:color w:val="000000" w:themeColor="text1"/>
                <w:sz w:val="24"/>
                <w:szCs w:val="24"/>
                <w14:textFill>
                  <w14:solidFill>
                    <w14:schemeClr w14:val="tx1"/>
                  </w14:solidFill>
                </w14:textFill>
              </w:rPr>
            </w:pPr>
          </w:p>
        </w:tc>
        <w:tc>
          <w:tcPr>
            <w:tcW w:w="1300" w:type="dxa"/>
            <w:vAlign w:val="center"/>
          </w:tcPr>
          <w:p w14:paraId="4E5F37E1">
            <w:pPr>
              <w:spacing w:line="360" w:lineRule="auto"/>
              <w:ind w:left="-140" w:leftChars="-50" w:right="-140" w:rightChars="-50"/>
              <w:jc w:val="center"/>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sz w:val="24"/>
                <w:szCs w:val="24"/>
                <w:lang w:val="en-US" w:eastAsia="zh-CN"/>
              </w:rPr>
              <w:t>保密要求</w:t>
            </w:r>
          </w:p>
        </w:tc>
        <w:tc>
          <w:tcPr>
            <w:tcW w:w="6244" w:type="dxa"/>
            <w:vAlign w:val="center"/>
          </w:tcPr>
          <w:p w14:paraId="016DD7CF">
            <w:pPr>
              <w:pStyle w:val="7"/>
              <w:ind w:firstLine="480" w:firstLineChars="200"/>
              <w:rPr>
                <w:rFonts w:hint="eastAsia" w:eastAsia="宋体"/>
                <w:color w:val="000000" w:themeColor="text1"/>
                <w:sz w:val="24"/>
                <w:szCs w:val="24"/>
                <w:lang w:val="en-US" w:eastAsia="zh-CN"/>
                <w14:textFill>
                  <w14:solidFill>
                    <w14:schemeClr w14:val="tx1"/>
                  </w14:solidFill>
                </w14:textFill>
              </w:rPr>
            </w:pPr>
            <w:r>
              <w:rPr>
                <w:rFonts w:hint="eastAsia" w:ascii="宋体" w:hAnsi="宋体" w:eastAsia="宋体" w:cs="宋体"/>
                <w:color w:val="000000"/>
                <w:sz w:val="24"/>
                <w:szCs w:val="24"/>
              </w:rPr>
              <w:t>对受检人员、内容、结果等信息保密，签署承诺书，承担相应法律责任</w:t>
            </w:r>
            <w:r>
              <w:rPr>
                <w:rFonts w:hint="eastAsia" w:ascii="宋体" w:hAnsi="宋体" w:cs="宋体"/>
                <w:color w:val="000000" w:themeColor="text1"/>
                <w:spacing w:val="6"/>
                <w:sz w:val="24"/>
                <w:szCs w:val="24"/>
                <w14:textFill>
                  <w14:solidFill>
                    <w14:schemeClr w14:val="tx1"/>
                  </w14:solidFill>
                </w14:textFill>
              </w:rPr>
              <w:t>。</w:t>
            </w:r>
            <w:r>
              <w:rPr>
                <w:rFonts w:hint="eastAsia" w:ascii="宋体" w:hAnsi="宋体" w:cs="宋体"/>
                <w:color w:val="000000" w:themeColor="text1"/>
                <w:spacing w:val="6"/>
                <w:sz w:val="24"/>
                <w:szCs w:val="24"/>
                <w:lang w:val="en-US" w:eastAsia="zh-CN"/>
                <w14:textFill>
                  <w14:solidFill>
                    <w14:schemeClr w14:val="tx1"/>
                  </w14:solidFill>
                </w14:textFill>
              </w:rPr>
              <w:t>满足得2分</w:t>
            </w:r>
            <w:r>
              <w:rPr>
                <w:rFonts w:hint="eastAsia" w:ascii="宋体" w:hAnsi="宋体" w:cs="宋体"/>
                <w:color w:val="000000" w:themeColor="text1"/>
                <w:spacing w:val="6"/>
                <w:sz w:val="24"/>
                <w:szCs w:val="24"/>
                <w14:textFill>
                  <w14:solidFill>
                    <w14:schemeClr w14:val="tx1"/>
                  </w14:solidFill>
                </w14:textFill>
              </w:rPr>
              <w:t>，不满足不得分。</w:t>
            </w:r>
            <w:r>
              <w:rPr>
                <w:rFonts w:hint="eastAsia" w:ascii="宋体" w:hAnsi="宋体" w:cs="宋体"/>
                <w:b/>
                <w:bCs/>
                <w:color w:val="000000" w:themeColor="text1"/>
                <w:spacing w:val="6"/>
                <w:sz w:val="24"/>
                <w:szCs w:val="24"/>
                <w:lang w:val="en-US" w:eastAsia="zh-CN"/>
                <w14:textFill>
                  <w14:solidFill>
                    <w14:schemeClr w14:val="tx1"/>
                  </w14:solidFill>
                </w14:textFill>
              </w:rPr>
              <w:t>（提供承诺函）</w:t>
            </w:r>
          </w:p>
        </w:tc>
        <w:tc>
          <w:tcPr>
            <w:tcW w:w="1463" w:type="dxa"/>
            <w:vAlign w:val="center"/>
          </w:tcPr>
          <w:p w14:paraId="2B4C2589">
            <w:pPr>
              <w:widowControl/>
              <w:spacing w:line="360" w:lineRule="auto"/>
              <w:ind w:left="-140" w:leftChars="-50" w:right="-140" w:rightChars="-50"/>
              <w:jc w:val="center"/>
              <w:rPr>
                <w:rFonts w:hint="eastAsia" w:ascii="宋体" w:hAnsi="宋体" w:eastAsia="宋体" w:cs="宋体"/>
                <w:color w:val="000000"/>
                <w:sz w:val="24"/>
                <w:szCs w:val="24"/>
              </w:rPr>
            </w:pPr>
            <w:r>
              <w:rPr>
                <w:rFonts w:hint="eastAsia" w:ascii="宋体" w:hAnsi="宋体"/>
                <w:color w:val="000000" w:themeColor="text1"/>
                <w:sz w:val="24"/>
                <w:szCs w:val="24"/>
                <w:lang w:val="en-US" w:eastAsia="zh-CN"/>
                <w14:textFill>
                  <w14:solidFill>
                    <w14:schemeClr w14:val="tx1"/>
                  </w14:solidFill>
                </w14:textFill>
              </w:rPr>
              <w:t>3分</w:t>
            </w:r>
          </w:p>
        </w:tc>
      </w:tr>
    </w:tbl>
    <w:p w14:paraId="1CB6363E">
      <w:pPr>
        <w:rPr>
          <w:rFonts w:hint="eastAsia"/>
        </w:rPr>
      </w:pPr>
    </w:p>
    <w:p w14:paraId="29BA5AE6">
      <w:pPr>
        <w:pStyle w:val="19"/>
        <w:rPr>
          <w:color w:val="auto"/>
        </w:rPr>
      </w:pPr>
    </w:p>
    <w:p w14:paraId="3B936063">
      <w:pPr>
        <w:pStyle w:val="7"/>
      </w:pPr>
    </w:p>
    <w:p w14:paraId="0B827F6B"/>
    <w:bookmarkEnd w:id="0"/>
    <w:bookmarkEnd w:id="1"/>
    <w:bookmarkEnd w:id="2"/>
    <w:bookmarkEnd w:id="3"/>
    <w:bookmarkEnd w:id="4"/>
    <w:bookmarkEnd w:id="5"/>
    <w:p w14:paraId="30E516FA">
      <w:pPr>
        <w:pStyle w:val="4"/>
        <w:rPr>
          <w:rFonts w:hAnsi="宋体" w:cs="宋体"/>
        </w:rPr>
      </w:pPr>
      <w:bookmarkStart w:id="6" w:name="_Toc356490388"/>
      <w:bookmarkStart w:id="7" w:name="_Toc5274"/>
      <w:bookmarkStart w:id="8" w:name="_Toc325620723"/>
      <w:bookmarkStart w:id="9" w:name="_Toc356491327"/>
      <w:r>
        <w:rPr>
          <w:rFonts w:hint="eastAsia" w:hAnsi="宋体" w:cs="宋体"/>
        </w:rPr>
        <w:t>第</w:t>
      </w:r>
      <w:r>
        <w:rPr>
          <w:rFonts w:hint="eastAsia" w:hAnsi="宋体" w:cs="宋体"/>
          <w:lang w:val="en-US" w:eastAsia="zh-CN"/>
        </w:rPr>
        <w:t>二</w:t>
      </w:r>
      <w:r>
        <w:rPr>
          <w:rFonts w:hint="eastAsia" w:hAnsi="宋体" w:cs="宋体"/>
        </w:rPr>
        <w:t>部分 项目说明及要求</w:t>
      </w:r>
      <w:bookmarkEnd w:id="6"/>
      <w:bookmarkEnd w:id="7"/>
      <w:bookmarkEnd w:id="8"/>
      <w:bookmarkEnd w:id="9"/>
    </w:p>
    <w:p w14:paraId="3CF52E6E">
      <w:pPr>
        <w:pStyle w:val="5"/>
        <w:rPr>
          <w:rFonts w:cs="宋体"/>
        </w:rPr>
      </w:pPr>
      <w:bookmarkStart w:id="10" w:name="_Toc11364"/>
      <w:bookmarkStart w:id="11" w:name="_Toc356490389"/>
      <w:bookmarkStart w:id="12" w:name="_Toc407632791"/>
      <w:bookmarkStart w:id="13" w:name="_Toc356491328"/>
      <w:bookmarkStart w:id="14" w:name="_Toc325620724"/>
      <w:r>
        <w:rPr>
          <w:rFonts w:hint="eastAsia" w:cs="宋体"/>
        </w:rPr>
        <w:t>一、项目名称</w:t>
      </w:r>
      <w:bookmarkEnd w:id="10"/>
      <w:bookmarkEnd w:id="11"/>
      <w:bookmarkEnd w:id="12"/>
      <w:bookmarkEnd w:id="13"/>
      <w:bookmarkEnd w:id="14"/>
      <w:bookmarkStart w:id="15" w:name="_Toc325620725"/>
    </w:p>
    <w:bookmarkEnd w:id="15"/>
    <w:p w14:paraId="29552D04">
      <w:pPr>
        <w:spacing w:line="360" w:lineRule="auto"/>
        <w:ind w:firstLine="480" w:firstLineChars="200"/>
        <w:rPr>
          <w:rFonts w:hint="default" w:hAnsi="宋体" w:eastAsia="宋体" w:cs="宋体"/>
          <w:sz w:val="24"/>
          <w:lang w:val="en-US" w:eastAsia="zh-CN"/>
        </w:rPr>
      </w:pPr>
      <w:bookmarkStart w:id="16" w:name="_Toc356490390"/>
      <w:bookmarkStart w:id="17" w:name="_Toc356491329"/>
      <w:bookmarkStart w:id="18" w:name="_Toc407632792"/>
      <w:r>
        <w:rPr>
          <w:rFonts w:hint="eastAsia" w:ascii="宋体" w:hAnsi="宋体" w:eastAsia="宋体" w:cs="宋体"/>
          <w:sz w:val="24"/>
          <w:highlight w:val="none"/>
          <w:lang w:eastAsia="zh-CN"/>
        </w:rPr>
        <w:t>妇科（液基）人工智能细胞病理诊断</w:t>
      </w:r>
      <w:r>
        <w:rPr>
          <w:rFonts w:hint="eastAsia" w:hAnsi="宋体" w:cs="宋体"/>
          <w:sz w:val="24"/>
          <w:highlight w:val="none"/>
          <w:lang w:val="en-US" w:eastAsia="zh-CN"/>
        </w:rPr>
        <w:t>,TCT检测</w:t>
      </w:r>
      <w:bookmarkStart w:id="52" w:name="_GoBack"/>
      <w:bookmarkEnd w:id="52"/>
      <w:r>
        <w:rPr>
          <w:rFonts w:hint="eastAsia" w:hAnsi="宋体" w:cs="宋体"/>
          <w:sz w:val="24"/>
          <w:highlight w:val="none"/>
          <w:lang w:val="en-US" w:eastAsia="zh-CN"/>
        </w:rPr>
        <w:t>用于妇科、妇保科等科室女性宫颈疾病筛查、诊断与预防等常规临床诊疗及公共卫生服务工作。</w:t>
      </w:r>
    </w:p>
    <w:p w14:paraId="35993301">
      <w:pPr>
        <w:pStyle w:val="5"/>
        <w:rPr>
          <w:rFonts w:cs="宋体"/>
          <w:b w:val="0"/>
          <w:kern w:val="2"/>
          <w:sz w:val="24"/>
          <w:szCs w:val="24"/>
        </w:rPr>
      </w:pPr>
      <w:bookmarkStart w:id="19" w:name="_Toc7578"/>
      <w:r>
        <w:rPr>
          <w:rFonts w:hint="eastAsia" w:cs="宋体"/>
        </w:rPr>
        <w:t>二、项目说明</w:t>
      </w:r>
      <w:bookmarkEnd w:id="16"/>
      <w:bookmarkEnd w:id="17"/>
      <w:bookmarkEnd w:id="18"/>
      <w:bookmarkEnd w:id="19"/>
    </w:p>
    <w:p w14:paraId="7EF82EE9">
      <w:pPr>
        <w:spacing w:line="360" w:lineRule="auto"/>
        <w:ind w:firstLine="480" w:firstLineChars="200"/>
        <w:rPr>
          <w:rFonts w:hAnsi="宋体" w:cs="宋体"/>
          <w:sz w:val="24"/>
        </w:rPr>
      </w:pPr>
      <w:bookmarkStart w:id="20" w:name="_Toc325620726"/>
      <w:bookmarkStart w:id="21" w:name="_Toc356490391"/>
      <w:bookmarkStart w:id="22" w:name="_Toc356491330"/>
      <w:r>
        <w:rPr>
          <w:rFonts w:hint="eastAsia" w:hAnsi="宋体" w:cs="宋体"/>
          <w:sz w:val="24"/>
        </w:rPr>
        <w:t>1．供应商不得对所投</w:t>
      </w:r>
      <w:r>
        <w:rPr>
          <w:rFonts w:hint="eastAsia" w:hAnsi="宋体" w:cs="宋体"/>
          <w:sz w:val="24"/>
          <w:lang w:val="en-US" w:eastAsia="zh-CN"/>
        </w:rPr>
        <w:t>标</w:t>
      </w:r>
      <w:r>
        <w:rPr>
          <w:rFonts w:hint="eastAsia" w:hAnsi="宋体" w:cs="宋体"/>
          <w:sz w:val="24"/>
        </w:rPr>
        <w:t>内容分解后进行响应。</w:t>
      </w:r>
    </w:p>
    <w:p w14:paraId="7537ED3D">
      <w:pPr>
        <w:pStyle w:val="5"/>
        <w:spacing w:line="276" w:lineRule="auto"/>
        <w:rPr>
          <w:rFonts w:cs="宋体"/>
        </w:rPr>
      </w:pPr>
      <w:bookmarkStart w:id="23" w:name="_Toc407632793"/>
      <w:bookmarkStart w:id="24" w:name="_Toc16684"/>
      <w:r>
        <w:rPr>
          <w:rFonts w:hint="eastAsia" w:cs="宋体"/>
        </w:rPr>
        <w:t>三、商务条件</w:t>
      </w:r>
      <w:bookmarkEnd w:id="20"/>
      <w:bookmarkEnd w:id="21"/>
      <w:bookmarkEnd w:id="22"/>
      <w:bookmarkEnd w:id="23"/>
      <w:bookmarkEnd w:id="24"/>
    </w:p>
    <w:p w14:paraId="16E2C65C">
      <w:pPr>
        <w:spacing w:line="288" w:lineRule="auto"/>
        <w:ind w:firstLine="480" w:firstLineChars="200"/>
        <w:rPr>
          <w:rFonts w:hAnsi="宋体" w:cs="宋体"/>
          <w:sz w:val="24"/>
        </w:rPr>
      </w:pPr>
      <w:r>
        <w:rPr>
          <w:rFonts w:hint="eastAsia" w:hAnsi="宋体" w:cs="宋体"/>
          <w:sz w:val="24"/>
        </w:rPr>
        <w:t>1.服务期：</w:t>
      </w:r>
      <w:r>
        <w:rPr>
          <w:rFonts w:hint="eastAsia" w:hAnsi="宋体" w:cs="宋体"/>
          <w:sz w:val="24"/>
          <w:lang w:val="en-US" w:eastAsia="zh-CN"/>
        </w:rPr>
        <w:t>3</w:t>
      </w:r>
      <w:r>
        <w:rPr>
          <w:rFonts w:hint="eastAsia" w:hAnsi="宋体" w:cs="宋体"/>
          <w:sz w:val="24"/>
        </w:rPr>
        <w:t>年，签订合同后15日内上线。</w:t>
      </w:r>
    </w:p>
    <w:p w14:paraId="2FA92156">
      <w:pPr>
        <w:spacing w:line="480" w:lineRule="exact"/>
        <w:ind w:firstLine="480" w:firstLineChars="200"/>
        <w:rPr>
          <w:rFonts w:hAnsi="宋体" w:cs="宋体"/>
          <w:sz w:val="24"/>
        </w:rPr>
      </w:pPr>
      <w:r>
        <w:rPr>
          <w:rFonts w:hint="eastAsia" w:hAnsi="宋体" w:cs="宋体"/>
          <w:sz w:val="24"/>
        </w:rPr>
        <w:t>2.付款方式:签订合同后，甲方向乙方每</w:t>
      </w:r>
      <w:r>
        <w:rPr>
          <w:rFonts w:hint="eastAsia" w:hAnsi="宋体" w:cs="宋体"/>
          <w:sz w:val="24"/>
          <w:lang w:val="en-US" w:eastAsia="zh-CN"/>
        </w:rPr>
        <w:t>个月</w:t>
      </w:r>
      <w:r>
        <w:rPr>
          <w:rFonts w:hint="eastAsia" w:hAnsi="宋体" w:cs="宋体"/>
          <w:sz w:val="24"/>
        </w:rPr>
        <w:t>根据实际发生清单据实结算。</w:t>
      </w:r>
    </w:p>
    <w:p w14:paraId="23079EC5">
      <w:pPr>
        <w:pStyle w:val="15"/>
        <w:ind w:firstLine="240"/>
      </w:pPr>
      <w:r>
        <w:rPr>
          <w:rFonts w:hint="eastAsia" w:hAnsi="宋体" w:cs="宋体"/>
          <w:sz w:val="24"/>
        </w:rPr>
        <w:t xml:space="preserve"> </w:t>
      </w:r>
    </w:p>
    <w:p w14:paraId="10054AC9">
      <w:pPr>
        <w:pStyle w:val="19"/>
        <w:ind w:firstLine="480"/>
        <w:rPr>
          <w:rFonts w:ascii="宋体" w:hAnsi="宋体" w:cs="宋体"/>
          <w:bCs/>
          <w:color w:val="auto"/>
          <w:kern w:val="2"/>
        </w:rPr>
      </w:pPr>
      <w:bookmarkStart w:id="25" w:name="_Toc356491331"/>
    </w:p>
    <w:p w14:paraId="61775924">
      <w:pPr>
        <w:pStyle w:val="5"/>
        <w:numPr>
          <w:ilvl w:val="0"/>
          <w:numId w:val="1"/>
        </w:numPr>
        <w:bidi w:val="0"/>
        <w:rPr>
          <w:rFonts w:hint="eastAsia" w:hAnsi="宋体" w:cs="宋体"/>
          <w:b/>
          <w:bCs w:val="0"/>
        </w:rPr>
      </w:pPr>
      <w:r>
        <w:rPr>
          <w:rFonts w:hint="eastAsia" w:hAnsi="宋体" w:cs="宋体"/>
          <w:b/>
          <w:bCs w:val="0"/>
        </w:rPr>
        <w:br w:type="page"/>
      </w:r>
      <w:bookmarkEnd w:id="25"/>
      <w:r>
        <w:rPr>
          <w:rFonts w:hint="eastAsia" w:hAnsi="宋体" w:cs="宋体"/>
          <w:b/>
          <w:bCs w:val="0"/>
        </w:rPr>
        <w:t>技术参数及要求</w:t>
      </w:r>
      <w:bookmarkStart w:id="26" w:name="_Toc435514848"/>
      <w:bookmarkEnd w:id="26"/>
      <w:bookmarkStart w:id="27" w:name="_Toc356491341"/>
      <w:bookmarkStart w:id="28" w:name="_Toc356490393"/>
    </w:p>
    <w:p w14:paraId="2083DAF7">
      <w:pPr>
        <w:numPr>
          <w:ilvl w:val="0"/>
          <w:numId w:val="2"/>
        </w:numPr>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技术方面</w:t>
      </w:r>
    </w:p>
    <w:p w14:paraId="25A4B65F">
      <w:pPr>
        <w:numPr>
          <w:ilvl w:val="0"/>
          <w:numId w:val="3"/>
        </w:numPr>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功能方面</w:t>
      </w:r>
    </w:p>
    <w:p w14:paraId="5AB504B9">
      <w:pPr>
        <w:numPr>
          <w:ilvl w:val="0"/>
          <w:numId w:val="4"/>
        </w:numPr>
        <w:jc w:val="left"/>
        <w:rPr>
          <w:rFonts w:ascii="Times New Roman" w:hAnsi="Times New Roman"/>
          <w:sz w:val="24"/>
          <w:szCs w:val="24"/>
          <w:highlight w:val="none"/>
        </w:rPr>
      </w:pPr>
      <w:r>
        <w:rPr>
          <w:rFonts w:ascii="Times New Roman" w:hAnsi="Times New Roman"/>
          <w:sz w:val="24"/>
          <w:szCs w:val="24"/>
          <w:highlight w:val="none"/>
        </w:rPr>
        <w:t>质控和检测能力</w:t>
      </w:r>
    </w:p>
    <w:p w14:paraId="79B05A5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1.1、全部标本检测完成后，抽取</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%阴性标本，专业病理</w:t>
      </w:r>
      <w:r>
        <w:rPr>
          <w:rFonts w:hint="eastAsia" w:ascii="宋体" w:hAnsi="宋体" w:eastAsia="宋体" w:cs="宋体"/>
          <w:color w:val="000000"/>
          <w:sz w:val="24"/>
          <w:szCs w:val="24"/>
          <w:lang w:eastAsia="zh-CN"/>
        </w:rPr>
        <w:t>专家</w:t>
      </w:r>
      <w:r>
        <w:rPr>
          <w:rFonts w:hint="eastAsia" w:ascii="宋体" w:hAnsi="宋体" w:eastAsia="宋体" w:cs="宋体"/>
          <w:color w:val="000000"/>
          <w:sz w:val="24"/>
          <w:szCs w:val="24"/>
        </w:rPr>
        <w:t>人工复核已抽取的10%阴性标本以及所有阳性标本，</w:t>
      </w:r>
      <w:r>
        <w:rPr>
          <w:rFonts w:hint="eastAsia" w:ascii="宋体" w:hAnsi="宋体" w:eastAsia="宋体" w:cs="宋体"/>
          <w:color w:val="000000"/>
          <w:sz w:val="24"/>
          <w:szCs w:val="24"/>
          <w:lang w:eastAsia="zh-CN"/>
        </w:rPr>
        <w:t>可</w:t>
      </w:r>
      <w:r>
        <w:rPr>
          <w:rFonts w:hint="eastAsia" w:ascii="宋体" w:hAnsi="宋体" w:eastAsia="宋体" w:cs="宋体"/>
          <w:color w:val="000000"/>
          <w:sz w:val="24"/>
          <w:szCs w:val="24"/>
        </w:rPr>
        <w:t>提供复核标本的原始记录数据。</w:t>
      </w:r>
    </w:p>
    <w:p w14:paraId="57E9A1CE">
      <w:pPr>
        <w:spacing w:line="360" w:lineRule="auto"/>
        <w:ind w:firstLine="480" w:firstLineChars="200"/>
        <w:rPr>
          <w:rFonts w:hint="eastAsia" w:ascii="宋体" w:hAnsi="宋体" w:eastAsia="宋体" w:cs="宋体"/>
          <w:color w:val="000000"/>
          <w:sz w:val="24"/>
          <w:szCs w:val="24"/>
        </w:rPr>
      </w:pPr>
      <w:r>
        <w:rPr>
          <w:rFonts w:ascii="Times New Roman" w:hAnsi="Times New Roman"/>
          <w:sz w:val="24"/>
          <w:szCs w:val="24"/>
          <w:highlight w:val="none"/>
        </w:rPr>
        <w:t>1.2、</w:t>
      </w:r>
      <w:r>
        <w:rPr>
          <w:rFonts w:hint="eastAsia" w:ascii="宋体" w:hAnsi="宋体" w:eastAsia="宋体" w:cs="宋体"/>
          <w:color w:val="000000"/>
          <w:sz w:val="24"/>
          <w:szCs w:val="24"/>
        </w:rPr>
        <w:t>定期参加国家或省级细胞病理实验室室间质评，进行规范的实验室室内质控和自查，并有大规模宫颈癌筛查经验。</w:t>
      </w:r>
    </w:p>
    <w:p w14:paraId="0450E20A">
      <w:pPr>
        <w:pStyle w:val="7"/>
        <w:ind w:left="0"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1.3、</w:t>
      </w:r>
      <w:r>
        <w:rPr>
          <w:rFonts w:hint="eastAsia" w:ascii="宋体" w:hAnsi="宋体" w:eastAsia="宋体" w:cs="宋体"/>
          <w:color w:val="000000"/>
          <w:sz w:val="24"/>
          <w:szCs w:val="24"/>
        </w:rPr>
        <w:t>每季度接受项目专家组人员对检测过程和筛查数据的抽检，按年度接受专业第三方机构的总体评估。</w:t>
      </w:r>
    </w:p>
    <w:p w14:paraId="4A0AD9F5">
      <w:pPr>
        <w:pStyle w:val="7"/>
        <w:ind w:left="0" w:leftChars="0"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1.4、</w:t>
      </w:r>
      <w:r>
        <w:rPr>
          <w:rFonts w:hint="eastAsia" w:ascii="宋体" w:hAnsi="宋体" w:eastAsia="宋体" w:cs="宋体"/>
          <w:color w:val="000000"/>
          <w:sz w:val="24"/>
          <w:szCs w:val="24"/>
        </w:rPr>
        <w:t>承诺在接收细胞学标本后的</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个工作日内完成相关检测、出具检测报告，提供电子化报告向</w:t>
      </w:r>
      <w:r>
        <w:rPr>
          <w:rFonts w:hint="eastAsia" w:ascii="宋体" w:hAnsi="宋体" w:eastAsia="宋体" w:cs="宋体"/>
          <w:color w:val="000000"/>
          <w:sz w:val="24"/>
          <w:szCs w:val="24"/>
          <w:lang w:val="en-US" w:eastAsia="zh-CN"/>
        </w:rPr>
        <w:t>医院系统</w:t>
      </w:r>
      <w:r>
        <w:rPr>
          <w:rFonts w:hint="eastAsia" w:ascii="宋体" w:hAnsi="宋体" w:eastAsia="宋体" w:cs="宋体"/>
          <w:color w:val="000000"/>
          <w:sz w:val="24"/>
          <w:szCs w:val="24"/>
        </w:rPr>
        <w:t>推送</w:t>
      </w:r>
      <w:r>
        <w:rPr>
          <w:rFonts w:hint="eastAsia" w:ascii="宋体" w:hAnsi="宋体" w:eastAsia="宋体" w:cs="宋体"/>
          <w:color w:val="000000"/>
          <w:sz w:val="24"/>
          <w:szCs w:val="24"/>
          <w:lang w:eastAsia="zh-CN"/>
        </w:rPr>
        <w:t>。</w:t>
      </w:r>
    </w:p>
    <w:p w14:paraId="703E0008">
      <w:pPr>
        <w:pStyle w:val="7"/>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1.5、</w:t>
      </w:r>
      <w:r>
        <w:rPr>
          <w:rFonts w:hint="eastAsia" w:ascii="宋体" w:hAnsi="宋体" w:eastAsia="宋体" w:cs="宋体"/>
          <w:color w:val="000000"/>
          <w:sz w:val="24"/>
          <w:szCs w:val="24"/>
        </w:rPr>
        <w:t>具备快速启动并独立承担大规模宫颈癌筛查的能力和经验（月检测量：≥</w:t>
      </w:r>
      <w:r>
        <w:rPr>
          <w:rFonts w:hint="default" w:ascii="宋体" w:hAnsi="宋体" w:eastAsia="宋体" w:cs="宋体"/>
          <w:color w:val="000000"/>
          <w:sz w:val="24"/>
          <w:szCs w:val="24"/>
        </w:rPr>
        <w:t>2</w:t>
      </w:r>
      <w:r>
        <w:rPr>
          <w:rFonts w:hint="eastAsia" w:ascii="宋体" w:hAnsi="宋体" w:eastAsia="宋体" w:cs="宋体"/>
          <w:color w:val="000000"/>
          <w:sz w:val="24"/>
          <w:szCs w:val="24"/>
        </w:rPr>
        <w:t>0万人/月）。</w:t>
      </w:r>
    </w:p>
    <w:p w14:paraId="21DEB449">
      <w:pPr>
        <w:numPr>
          <w:ilvl w:val="0"/>
          <w:numId w:val="4"/>
        </w:numPr>
        <w:jc w:val="left"/>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检测方法</w:t>
      </w:r>
    </w:p>
    <w:p w14:paraId="1E7E5353">
      <w:pPr>
        <w:pStyle w:val="7"/>
        <w:ind w:firstLine="480" w:firstLineChars="200"/>
        <w:rPr>
          <w:rFonts w:hint="eastAsia" w:ascii="宋体" w:hAnsi="宋体" w:eastAsia="宋体" w:cs="宋体"/>
          <w:color w:val="000000"/>
          <w:sz w:val="24"/>
        </w:rPr>
      </w:pPr>
      <w:r>
        <w:rPr>
          <w:rFonts w:hint="eastAsia" w:ascii="宋体" w:hAnsi="宋体" w:eastAsia="宋体" w:cs="宋体"/>
          <w:color w:val="000000"/>
          <w:sz w:val="24"/>
          <w:lang w:val="en-US" w:eastAsia="zh-CN"/>
        </w:rPr>
        <w:t>2.1、</w:t>
      </w:r>
      <w:r>
        <w:rPr>
          <w:rFonts w:hint="eastAsia" w:ascii="宋体" w:hAnsi="宋体" w:eastAsia="宋体" w:cs="宋体"/>
          <w:color w:val="000000"/>
          <w:sz w:val="24"/>
        </w:rPr>
        <w:t>采用宫颈癌细胞学进行初筛检测，使用人工智能、云诊断、大数据等新兴前沿科技手段提高筛查能力，保障筛查质量。</w:t>
      </w:r>
    </w:p>
    <w:p w14:paraId="7B4EC382">
      <w:pPr>
        <w:pStyle w:val="7"/>
        <w:ind w:left="0"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2.2、</w:t>
      </w:r>
      <w:r>
        <w:rPr>
          <w:rFonts w:hint="eastAsia" w:ascii="宋体" w:hAnsi="宋体" w:eastAsia="宋体" w:cs="宋体"/>
          <w:color w:val="000000"/>
          <w:sz w:val="24"/>
          <w:szCs w:val="24"/>
        </w:rPr>
        <w:t>云平台及大数据技术已运用于过往省级宫颈癌筛查项目，并积累了相关细胞学筛查结果及数据，形成了具有统计学意义的流行病学分析结果及卫生经济学意义的人工智能大数据云诊断筛查模式。过往病例数</w:t>
      </w:r>
      <w:r>
        <w:rPr>
          <w:rFonts w:hint="eastAsia" w:ascii="宋体" w:hAnsi="宋体" w:eastAsia="宋体" w:cs="宋体"/>
          <w:color w:val="000000"/>
          <w:sz w:val="24"/>
          <w:szCs w:val="24"/>
          <w:lang w:val="en-US" w:eastAsia="zh-CN"/>
        </w:rPr>
        <w:t>≥5</w:t>
      </w:r>
      <w:r>
        <w:rPr>
          <w:rFonts w:ascii="宋体" w:hAnsi="宋体" w:eastAsia="宋体" w:cs="宋体"/>
          <w:color w:val="000000"/>
          <w:sz w:val="24"/>
          <w:szCs w:val="24"/>
        </w:rPr>
        <w:t>00万例</w:t>
      </w:r>
      <w:r>
        <w:rPr>
          <w:rFonts w:hint="eastAsia" w:ascii="宋体" w:hAnsi="宋体" w:eastAsia="宋体" w:cs="宋体"/>
          <w:color w:val="000000"/>
          <w:sz w:val="24"/>
          <w:szCs w:val="24"/>
        </w:rPr>
        <w:t>。</w:t>
      </w:r>
    </w:p>
    <w:p w14:paraId="45CE69EE">
      <w:pPr>
        <w:tabs>
          <w:tab w:val="left" w:pos="351"/>
          <w:tab w:val="left" w:pos="816"/>
        </w:tabs>
        <w:ind w:left="0" w:leftChars="0" w:right="-67" w:rightChars="-24" w:firstLine="480" w:firstLineChars="200"/>
        <w:rPr>
          <w:rFonts w:ascii="宋体" w:hAnsi="宋体" w:eastAsia="宋体" w:cs="宋体"/>
          <w:color w:val="000000"/>
          <w:kern w:val="0"/>
          <w:sz w:val="24"/>
        </w:rPr>
      </w:pPr>
      <w:r>
        <w:rPr>
          <w:rFonts w:hint="eastAsia" w:ascii="宋体" w:hAnsi="宋体" w:eastAsia="宋体" w:cs="宋体"/>
          <w:color w:val="000000"/>
          <w:kern w:val="0"/>
          <w:sz w:val="24"/>
          <w:lang w:val="en-US" w:eastAsia="zh-CN"/>
        </w:rPr>
        <w:t>2.3、</w:t>
      </w:r>
      <w:r>
        <w:rPr>
          <w:rFonts w:hint="eastAsia" w:ascii="宋体" w:hAnsi="宋体" w:eastAsia="宋体" w:cs="宋体"/>
          <w:color w:val="000000"/>
          <w:kern w:val="0"/>
          <w:sz w:val="24"/>
        </w:rPr>
        <w:t>检测方法满足稳定性与可重复性：</w:t>
      </w:r>
    </w:p>
    <w:p w14:paraId="0C7D9E50">
      <w:pPr>
        <w:tabs>
          <w:tab w:val="left" w:pos="351"/>
          <w:tab w:val="left" w:pos="816"/>
        </w:tabs>
        <w:ind w:firstLine="480" w:firstLineChars="200"/>
        <w:rPr>
          <w:rFonts w:ascii="宋体" w:hAnsi="宋体" w:eastAsia="宋体" w:cs="宋体"/>
          <w:color w:val="000000"/>
          <w:kern w:val="0"/>
          <w:sz w:val="24"/>
        </w:rPr>
      </w:pPr>
      <w:r>
        <w:rPr>
          <w:rFonts w:hint="eastAsia" w:ascii="宋体" w:hAnsi="宋体" w:eastAsia="宋体" w:cs="宋体"/>
          <w:color w:val="000000"/>
          <w:kern w:val="0"/>
          <w:sz w:val="24"/>
        </w:rPr>
        <w:t>人工智能检测系统的检测设备具有稳定性和可重复性；</w:t>
      </w:r>
    </w:p>
    <w:p w14:paraId="069821C7">
      <w:pPr>
        <w:pStyle w:val="7"/>
        <w:ind w:firstLine="480" w:firstLineChars="200"/>
        <w:rPr>
          <w:rFonts w:hint="eastAsia" w:ascii="宋体" w:hAnsi="宋体" w:eastAsia="宋体" w:cs="宋体"/>
          <w:color w:val="000000"/>
          <w:sz w:val="24"/>
          <w:szCs w:val="24"/>
        </w:rPr>
      </w:pPr>
      <w:r>
        <w:rPr>
          <w:rFonts w:hint="eastAsia" w:ascii="宋体" w:hAnsi="宋体" w:eastAsia="宋体" w:cs="宋体"/>
          <w:color w:val="000000"/>
          <w:kern w:val="0"/>
          <w:sz w:val="24"/>
        </w:rPr>
        <w:t>实验室检测技术人员操作具有稳定性和可重复性。</w:t>
      </w:r>
    </w:p>
    <w:p w14:paraId="1FB4DDE1">
      <w:pPr>
        <w:pStyle w:val="7"/>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eastAsia="zh-CN"/>
        </w:rPr>
        <w:t>3</w:t>
      </w:r>
      <w:r>
        <w:rPr>
          <w:rFonts w:hint="eastAsia" w:ascii="宋体" w:hAnsi="宋体" w:eastAsia="宋体" w:cs="宋体"/>
          <w:color w:val="000000"/>
          <w:sz w:val="24"/>
          <w:szCs w:val="24"/>
          <w:lang w:val="en-US" w:eastAsia="zh-CN"/>
        </w:rPr>
        <w:t>、检测质量保证</w:t>
      </w:r>
    </w:p>
    <w:p w14:paraId="5ACBCFF1">
      <w:pPr>
        <w:pStyle w:val="7"/>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3.1</w:t>
      </w:r>
      <w:r>
        <w:rPr>
          <w:rFonts w:hint="eastAsia" w:ascii="宋体" w:hAnsi="宋体" w:eastAsia="宋体" w:cs="宋体"/>
          <w:color w:val="000000"/>
          <w:sz w:val="24"/>
          <w:szCs w:val="24"/>
        </w:rPr>
        <w:t>细胞学检测方法的敏感性、特异性均达到90%以上。</w:t>
      </w:r>
    </w:p>
    <w:p w14:paraId="16EF3F80">
      <w:pPr>
        <w:pStyle w:val="7"/>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3.2</w:t>
      </w:r>
      <w:r>
        <w:rPr>
          <w:rFonts w:hint="eastAsia" w:ascii="宋体" w:hAnsi="宋体" w:eastAsia="宋体" w:cs="宋体"/>
          <w:color w:val="000000"/>
          <w:sz w:val="24"/>
          <w:szCs w:val="24"/>
        </w:rPr>
        <w:t>不合格样本处理：由委托方重新取材，免费检测。</w:t>
      </w:r>
    </w:p>
    <w:p w14:paraId="626EE5B9">
      <w:pPr>
        <w:pStyle w:val="7"/>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3.3</w:t>
      </w:r>
      <w:r>
        <w:rPr>
          <w:rFonts w:hint="eastAsia" w:ascii="宋体" w:hAnsi="宋体" w:eastAsia="宋体" w:cs="宋体"/>
          <w:color w:val="000000"/>
          <w:sz w:val="24"/>
          <w:szCs w:val="24"/>
        </w:rPr>
        <w:t>结果准确性：对所检测项目的结果准确性负责，如因检测报告不属实引起的一切纠纷责任自行承担。委托方不承担任何经济和法律责任。</w:t>
      </w:r>
    </w:p>
    <w:p w14:paraId="3BE9D4BA">
      <w:pPr>
        <w:numPr>
          <w:ilvl w:val="0"/>
          <w:numId w:val="3"/>
        </w:numPr>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资质方面</w:t>
      </w:r>
    </w:p>
    <w:p w14:paraId="064202B9">
      <w:pPr>
        <w:pStyle w:val="7"/>
        <w:ind w:firstLine="480" w:firstLineChars="200"/>
        <w:rPr>
          <w:rFonts w:hint="eastAsia" w:ascii="宋体" w:hAnsi="宋体" w:eastAsia="宋体" w:cs="宋体"/>
          <w:bCs/>
          <w:color w:val="000000"/>
          <w:sz w:val="24"/>
          <w:lang w:val="en-US" w:eastAsia="zh-CN"/>
        </w:rPr>
      </w:pPr>
      <w:r>
        <w:rPr>
          <w:rFonts w:hint="eastAsia" w:ascii="宋体" w:hAnsi="宋体" w:eastAsia="宋体" w:cs="宋体"/>
          <w:bCs/>
          <w:color w:val="000000"/>
          <w:sz w:val="24"/>
          <w:lang w:val="en-US" w:eastAsia="zh-CN"/>
        </w:rPr>
        <w:t>1.资质证书及资格</w:t>
      </w:r>
    </w:p>
    <w:p w14:paraId="3992BADD">
      <w:pPr>
        <w:tabs>
          <w:tab w:val="left" w:pos="351"/>
          <w:tab w:val="left" w:pos="816"/>
        </w:tabs>
        <w:ind w:left="0" w:leftChars="0" w:right="-67" w:rightChars="-24" w:firstLine="480" w:firstLineChars="200"/>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1.1、投标人</w:t>
      </w:r>
      <w:r>
        <w:rPr>
          <w:rFonts w:hint="eastAsia" w:ascii="宋体" w:hAnsi="宋体" w:eastAsia="宋体" w:cs="宋体"/>
          <w:color w:val="000000"/>
          <w:kern w:val="0"/>
          <w:sz w:val="24"/>
        </w:rPr>
        <w:t>具备省（省会）级卫生健康行政部门颁发的医疗机构执业许可证</w:t>
      </w:r>
      <w:r>
        <w:rPr>
          <w:rFonts w:hint="eastAsia" w:ascii="宋体" w:hAnsi="宋体" w:eastAsia="宋体" w:cs="宋体"/>
          <w:color w:val="000000"/>
          <w:kern w:val="0"/>
          <w:sz w:val="24"/>
          <w:lang w:eastAsia="zh-CN"/>
        </w:rPr>
        <w:t>。</w:t>
      </w:r>
    </w:p>
    <w:p w14:paraId="0B3759DA">
      <w:pPr>
        <w:tabs>
          <w:tab w:val="left" w:pos="351"/>
          <w:tab w:val="left" w:pos="816"/>
        </w:tabs>
        <w:ind w:left="0" w:leftChars="0" w:right="-67" w:rightChars="-24"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1.2、投标人</w:t>
      </w:r>
      <w:r>
        <w:rPr>
          <w:rFonts w:hint="eastAsia" w:ascii="宋体" w:hAnsi="宋体" w:eastAsia="宋体" w:cs="宋体"/>
          <w:color w:val="000000"/>
          <w:kern w:val="0"/>
          <w:sz w:val="24"/>
        </w:rPr>
        <w:t>具有有效的ISO9001质量管理体系认证证书、ISO14001环境管理体系认证证书、ISO</w:t>
      </w:r>
      <w:r>
        <w:rPr>
          <w:rFonts w:hint="eastAsia" w:ascii="宋体" w:hAnsi="宋体" w:eastAsia="宋体" w:cs="宋体"/>
          <w:color w:val="000000"/>
          <w:kern w:val="0"/>
          <w:sz w:val="24"/>
          <w:lang w:val="en-US" w:eastAsia="zh-CN"/>
        </w:rPr>
        <w:t>45001</w:t>
      </w:r>
      <w:r>
        <w:rPr>
          <w:rFonts w:hint="eastAsia" w:ascii="宋体" w:hAnsi="宋体" w:eastAsia="宋体" w:cs="宋体"/>
          <w:color w:val="000000"/>
          <w:kern w:val="0"/>
          <w:sz w:val="24"/>
        </w:rPr>
        <w:t>职业健康安全管理体系认证证书</w:t>
      </w:r>
      <w:r>
        <w:rPr>
          <w:rFonts w:hint="eastAsia" w:ascii="宋体" w:hAnsi="宋体" w:eastAsia="宋体" w:cs="宋体"/>
          <w:color w:val="000000"/>
          <w:kern w:val="0"/>
          <w:sz w:val="24"/>
          <w:lang w:eastAsia="zh-CN"/>
        </w:rPr>
        <w:t>；</w:t>
      </w:r>
      <w:r>
        <w:rPr>
          <w:rFonts w:hint="eastAsia" w:ascii="宋体" w:hAnsi="宋体" w:eastAsia="宋体" w:cs="宋体"/>
          <w:color w:val="000000"/>
          <w:kern w:val="0"/>
          <w:sz w:val="24"/>
        </w:rPr>
        <w:t>ISO15189质量管理体系认证证书。</w:t>
      </w:r>
    </w:p>
    <w:p w14:paraId="42EBC4CE">
      <w:pPr>
        <w:tabs>
          <w:tab w:val="left" w:pos="351"/>
          <w:tab w:val="left" w:pos="816"/>
        </w:tabs>
        <w:ind w:left="0" w:leftChars="0" w:right="-67" w:rightChars="-24" w:firstLine="480" w:firstLineChars="200"/>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2、综合能力</w:t>
      </w:r>
    </w:p>
    <w:p w14:paraId="360E7D65">
      <w:pPr>
        <w:tabs>
          <w:tab w:val="left" w:pos="351"/>
          <w:tab w:val="left" w:pos="816"/>
        </w:tabs>
        <w:ind w:left="0" w:leftChars="0" w:right="-67" w:rightChars="-24"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2.1、</w:t>
      </w:r>
      <w:r>
        <w:rPr>
          <w:rFonts w:hint="eastAsia" w:ascii="宋体" w:hAnsi="宋体" w:eastAsia="宋体" w:cs="宋体"/>
          <w:color w:val="000000"/>
          <w:kern w:val="0"/>
          <w:sz w:val="24"/>
          <w:lang w:eastAsia="zh-CN"/>
        </w:rPr>
        <w:t>具备细胞学检测技术能力，采用</w:t>
      </w:r>
      <w:r>
        <w:rPr>
          <w:rFonts w:hint="eastAsia" w:ascii="宋体" w:hAnsi="宋体" w:eastAsia="宋体" w:cs="宋体"/>
          <w:color w:val="000000"/>
          <w:kern w:val="0"/>
          <w:sz w:val="24"/>
        </w:rPr>
        <w:t>AI细胞学检测技术，使用云平台进行人工智能筛查。</w:t>
      </w:r>
    </w:p>
    <w:p w14:paraId="3C311DE2">
      <w:pPr>
        <w:tabs>
          <w:tab w:val="left" w:pos="351"/>
          <w:tab w:val="left" w:pos="816"/>
        </w:tabs>
        <w:ind w:left="560" w:leftChars="200" w:right="-67" w:rightChars="-24" w:firstLine="0" w:firstLineChars="0"/>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r>
        <w:rPr>
          <w:rFonts w:hint="default" w:ascii="宋体" w:hAnsi="宋体" w:eastAsia="宋体" w:cs="宋体"/>
          <w:color w:val="000000"/>
          <w:kern w:val="0"/>
          <w:sz w:val="24"/>
          <w:lang w:eastAsia="zh-CN"/>
        </w:rPr>
        <w:t>2</w:t>
      </w:r>
      <w:r>
        <w:rPr>
          <w:rFonts w:hint="eastAsia" w:ascii="宋体" w:hAnsi="宋体" w:eastAsia="宋体" w:cs="宋体"/>
          <w:color w:val="000000"/>
          <w:kern w:val="0"/>
          <w:sz w:val="24"/>
          <w:lang w:val="en-US" w:eastAsia="zh-CN"/>
        </w:rPr>
        <w:t>、</w:t>
      </w:r>
      <w:r>
        <w:rPr>
          <w:rFonts w:hint="eastAsia" w:ascii="宋体" w:hAnsi="宋体" w:eastAsia="宋体" w:cs="宋体"/>
          <w:color w:val="000000"/>
          <w:kern w:val="0"/>
          <w:sz w:val="24"/>
          <w:lang w:eastAsia="zh-CN"/>
        </w:rPr>
        <w:t>报告推送便利性，为方便推送报告给受检者，可提供</w:t>
      </w:r>
      <w:r>
        <w:rPr>
          <w:rFonts w:hint="eastAsia" w:ascii="宋体" w:hAnsi="宋体" w:eastAsia="宋体" w:cs="宋体"/>
          <w:color w:val="000000"/>
          <w:kern w:val="0"/>
          <w:sz w:val="24"/>
          <w:lang w:val="en-US" w:eastAsia="zh-CN"/>
        </w:rPr>
        <w:t>医院系统抓取电子化报告端。</w:t>
      </w:r>
    </w:p>
    <w:p w14:paraId="2F0FAA6F">
      <w:pPr>
        <w:tabs>
          <w:tab w:val="left" w:pos="351"/>
          <w:tab w:val="left" w:pos="816"/>
        </w:tabs>
        <w:ind w:left="0" w:leftChars="0" w:right="-67" w:rightChars="-24" w:firstLine="480" w:firstLineChars="200"/>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r>
        <w:rPr>
          <w:rFonts w:hint="default" w:ascii="宋体" w:hAnsi="宋体" w:eastAsia="宋体" w:cs="宋体"/>
          <w:color w:val="000000"/>
          <w:kern w:val="0"/>
          <w:sz w:val="24"/>
          <w:lang w:val="en-US" w:eastAsia="zh-CN"/>
        </w:rPr>
        <w:t>3</w:t>
      </w:r>
      <w:r>
        <w:rPr>
          <w:rFonts w:hint="eastAsia" w:ascii="宋体" w:hAnsi="宋体" w:eastAsia="宋体" w:cs="宋体"/>
          <w:color w:val="000000"/>
          <w:kern w:val="0"/>
          <w:sz w:val="24"/>
          <w:lang w:val="en-US" w:eastAsia="zh-CN"/>
        </w:rPr>
        <w:t>、能提供筛查数据分级管理管理系统，实时统计反馈筛查进度，筛查阳性人群。数据真实，可靠，管理部门定期通过管理系统抽查筛查数据的真实性。</w:t>
      </w:r>
    </w:p>
    <w:p w14:paraId="7EE263AC">
      <w:pPr>
        <w:tabs>
          <w:tab w:val="left" w:pos="351"/>
          <w:tab w:val="left" w:pos="816"/>
        </w:tabs>
        <w:ind w:left="0" w:leftChars="0" w:right="-67" w:rightChars="-24"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2.</w:t>
      </w:r>
      <w:r>
        <w:rPr>
          <w:rFonts w:hint="default" w:ascii="宋体" w:hAnsi="宋体" w:eastAsia="宋体" w:cs="宋体"/>
          <w:color w:val="000000"/>
          <w:kern w:val="0"/>
          <w:sz w:val="24"/>
          <w:lang w:eastAsia="zh-CN"/>
        </w:rPr>
        <w:t>4</w:t>
      </w:r>
      <w:r>
        <w:rPr>
          <w:rFonts w:hint="eastAsia" w:ascii="宋体" w:hAnsi="宋体" w:eastAsia="宋体" w:cs="宋体"/>
          <w:color w:val="000000"/>
          <w:kern w:val="0"/>
          <w:sz w:val="24"/>
          <w:lang w:val="en-US" w:eastAsia="zh-CN"/>
        </w:rPr>
        <w:t>、</w:t>
      </w:r>
      <w:r>
        <w:rPr>
          <w:rFonts w:hint="eastAsia" w:ascii="宋体" w:hAnsi="宋体" w:eastAsia="宋体" w:cs="宋体"/>
          <w:color w:val="000000"/>
          <w:kern w:val="0"/>
          <w:sz w:val="24"/>
        </w:rPr>
        <w:t>具有大规模筛查的质量控制的管理流程。</w:t>
      </w:r>
    </w:p>
    <w:p w14:paraId="16B9FFAB">
      <w:pPr>
        <w:pStyle w:val="7"/>
        <w:numPr>
          <w:ilvl w:val="0"/>
          <w:numId w:val="2"/>
        </w:numPr>
        <w:ind w:left="0" w:leftChars="0" w:firstLine="0" w:firstLineChars="0"/>
        <w:rPr>
          <w:rFonts w:hint="eastAsia" w:ascii="宋体" w:hAnsi="宋体" w:eastAsia="宋体" w:cs="宋体"/>
          <w:b/>
          <w:bCs/>
          <w:color w:val="000000"/>
          <w:sz w:val="24"/>
          <w:szCs w:val="24"/>
          <w:lang w:eastAsia="zh-CN"/>
        </w:rPr>
      </w:pPr>
      <w:r>
        <w:rPr>
          <w:rFonts w:hint="eastAsia" w:ascii="宋体" w:hAnsi="宋体" w:eastAsia="宋体" w:cs="宋体"/>
          <w:b/>
          <w:bCs/>
          <w:color w:val="000000"/>
          <w:sz w:val="24"/>
          <w:szCs w:val="24"/>
          <w:lang w:eastAsia="zh-CN"/>
        </w:rPr>
        <w:t>配套设备要求</w:t>
      </w:r>
    </w:p>
    <w:p w14:paraId="71A2BBA4">
      <w:pPr>
        <w:pStyle w:val="7"/>
        <w:numPr>
          <w:ilvl w:val="0"/>
          <w:numId w:val="0"/>
        </w:numPr>
        <w:ind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需在本院病理科设立</w:t>
      </w:r>
      <w:r>
        <w:rPr>
          <w:rFonts w:hint="eastAsia" w:ascii="宋体" w:hAnsi="宋体" w:eastAsia="宋体" w:cs="宋体"/>
          <w:color w:val="000000"/>
          <w:sz w:val="24"/>
          <w:szCs w:val="24"/>
        </w:rPr>
        <w:t>细胞学实验室</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主要设备（如制片、染片、扫片仪等），均取得中华人民共和国医疗器械注册证或备案证，相应试剂及耗材（宫颈刷、细胞保存液、染色剂）应取得中华人民共和国医疗器械备案凭证。</w:t>
      </w:r>
    </w:p>
    <w:p w14:paraId="35B91361">
      <w:pPr>
        <w:pStyle w:val="7"/>
        <w:numPr>
          <w:ilvl w:val="0"/>
          <w:numId w:val="0"/>
        </w:numPr>
        <w:ind w:leftChars="0"/>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三、检测人员</w:t>
      </w:r>
    </w:p>
    <w:p w14:paraId="46E09B97">
      <w:pPr>
        <w:pStyle w:val="7"/>
        <w:numPr>
          <w:ilvl w:val="0"/>
          <w:numId w:val="0"/>
        </w:numPr>
        <w:ind w:left="0"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rPr>
        <w:t>至少有</w:t>
      </w:r>
      <w:r>
        <w:rPr>
          <w:rFonts w:hint="eastAsia" w:ascii="宋体" w:hAnsi="宋体" w:eastAsia="宋体" w:cs="宋体"/>
          <w:color w:val="000000"/>
          <w:sz w:val="24"/>
          <w:lang w:val="en-US" w:eastAsia="zh-CN"/>
        </w:rPr>
        <w:t>2</w:t>
      </w:r>
      <w:r>
        <w:rPr>
          <w:rFonts w:hint="eastAsia" w:ascii="宋体" w:hAnsi="宋体" w:eastAsia="宋体" w:cs="宋体"/>
          <w:color w:val="000000"/>
          <w:sz w:val="24"/>
        </w:rPr>
        <w:t>名具有</w:t>
      </w:r>
      <w:r>
        <w:rPr>
          <w:rFonts w:hint="eastAsia" w:ascii="宋体" w:hAnsi="宋体" w:eastAsia="宋体" w:cs="宋体"/>
          <w:color w:val="000000"/>
          <w:sz w:val="24"/>
          <w:lang w:val="en-US" w:eastAsia="zh-CN"/>
        </w:rPr>
        <w:t>中</w:t>
      </w:r>
      <w:r>
        <w:rPr>
          <w:rFonts w:hint="eastAsia" w:ascii="宋体" w:hAnsi="宋体" w:eastAsia="宋体" w:cs="宋体"/>
          <w:color w:val="000000"/>
          <w:sz w:val="24"/>
        </w:rPr>
        <w:t>级及</w:t>
      </w:r>
      <w:r>
        <w:rPr>
          <w:rFonts w:hint="eastAsia" w:ascii="宋体" w:hAnsi="宋体" w:eastAsia="宋体" w:cs="宋体"/>
          <w:color w:val="000000"/>
          <w:sz w:val="24"/>
          <w:lang w:val="en-US" w:eastAsia="zh-CN"/>
        </w:rPr>
        <w:t>以上病理专</w:t>
      </w:r>
      <w:r>
        <w:rPr>
          <w:rFonts w:hint="eastAsia" w:ascii="宋体" w:hAnsi="宋体" w:eastAsia="宋体" w:cs="宋体"/>
          <w:color w:val="000000"/>
          <w:sz w:val="24"/>
        </w:rPr>
        <w:t>业技术职称任职资格的临床类别执业医师</w:t>
      </w:r>
      <w:r>
        <w:rPr>
          <w:rFonts w:hint="eastAsia" w:ascii="宋体" w:hAnsi="宋体" w:eastAsia="宋体" w:cs="宋体"/>
          <w:color w:val="000000"/>
          <w:sz w:val="24"/>
          <w:szCs w:val="24"/>
        </w:rPr>
        <w:t>。</w:t>
      </w:r>
    </w:p>
    <w:p w14:paraId="66D03BEE">
      <w:pPr>
        <w:pStyle w:val="7"/>
        <w:numPr>
          <w:ilvl w:val="0"/>
          <w:numId w:val="0"/>
        </w:numPr>
        <w:ind w:leftChars="0"/>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四、保密要求</w:t>
      </w:r>
    </w:p>
    <w:p w14:paraId="00DE81DE">
      <w:pPr>
        <w:pStyle w:val="7"/>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对受检人员、内容、结果等信息保密，签署承诺书，承担相应法律责任。</w:t>
      </w:r>
    </w:p>
    <w:p w14:paraId="7D8E9718">
      <w:pPr>
        <w:numPr>
          <w:ilvl w:val="0"/>
          <w:numId w:val="0"/>
        </w:numPr>
      </w:pPr>
    </w:p>
    <w:p w14:paraId="65A68904">
      <w:pPr>
        <w:rPr>
          <w:rFonts w:hint="eastAsia" w:hAnsi="宋体" w:cs="宋体"/>
        </w:rPr>
      </w:pPr>
      <w:bookmarkStart w:id="29" w:name="_Toc19972"/>
      <w:r>
        <w:rPr>
          <w:rFonts w:hint="eastAsia" w:hAnsi="宋体" w:cs="宋体"/>
        </w:rPr>
        <w:br w:type="page"/>
      </w:r>
    </w:p>
    <w:p w14:paraId="53972638">
      <w:pPr>
        <w:pStyle w:val="4"/>
        <w:rPr>
          <w:rFonts w:hint="eastAsia" w:hAnsi="宋体" w:cs="宋体"/>
        </w:rPr>
      </w:pPr>
      <w:r>
        <w:rPr>
          <w:rFonts w:hint="eastAsia" w:hAnsi="宋体" w:cs="宋体"/>
        </w:rPr>
        <w:t>第</w:t>
      </w:r>
      <w:r>
        <w:rPr>
          <w:rFonts w:hint="eastAsia" w:hAnsi="宋体" w:cs="宋体"/>
          <w:lang w:val="en-US" w:eastAsia="zh-CN"/>
        </w:rPr>
        <w:t>三</w:t>
      </w:r>
      <w:r>
        <w:rPr>
          <w:rFonts w:hint="eastAsia" w:hAnsi="宋体" w:cs="宋体"/>
        </w:rPr>
        <w:t>部分  附件</w:t>
      </w:r>
      <w:bookmarkEnd w:id="27"/>
      <w:bookmarkEnd w:id="28"/>
      <w:bookmarkEnd w:id="29"/>
    </w:p>
    <w:p w14:paraId="495FABF7">
      <w:pPr>
        <w:pStyle w:val="5"/>
        <w:rPr>
          <w:rFonts w:cs="宋体"/>
        </w:rPr>
      </w:pPr>
      <w:bookmarkStart w:id="30" w:name="_Toc356490394"/>
      <w:bookmarkStart w:id="31" w:name="_Toc26943"/>
      <w:bookmarkStart w:id="32" w:name="_Toc356491342"/>
      <w:r>
        <w:rPr>
          <w:rFonts w:hint="eastAsia" w:cs="宋体"/>
        </w:rPr>
        <w:t>附件一：报价函</w:t>
      </w:r>
      <w:bookmarkEnd w:id="30"/>
      <w:bookmarkEnd w:id="31"/>
      <w:bookmarkEnd w:id="32"/>
    </w:p>
    <w:p w14:paraId="63E5EAB4">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jc w:val="center"/>
        <w:rPr>
          <w:rFonts w:hAnsi="宋体" w:cs="宋体"/>
          <w:b/>
          <w:bCs w:val="0"/>
          <w:sz w:val="32"/>
          <w:szCs w:val="32"/>
        </w:rPr>
      </w:pPr>
      <w:r>
        <w:rPr>
          <w:rFonts w:hint="eastAsia" w:hAnsi="宋体" w:cs="宋体"/>
          <w:b/>
          <w:bCs w:val="0"/>
          <w:sz w:val="32"/>
          <w:szCs w:val="32"/>
        </w:rPr>
        <w:t>报 价 函</w:t>
      </w:r>
    </w:p>
    <w:p w14:paraId="774AA0B6">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rPr>
      </w:pPr>
      <w:r>
        <w:rPr>
          <w:rFonts w:hint="eastAsia" w:hAnsi="宋体" w:cs="宋体"/>
          <w:sz w:val="24"/>
          <w:lang w:val="en-US" w:eastAsia="zh-CN"/>
        </w:rPr>
        <w:t>大庆市人民医院</w:t>
      </w:r>
      <w:r>
        <w:rPr>
          <w:rFonts w:hint="eastAsia" w:hAnsi="宋体" w:cs="宋体"/>
          <w:sz w:val="24"/>
        </w:rPr>
        <w:t>：</w:t>
      </w:r>
    </w:p>
    <w:p w14:paraId="6713D024">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u w:val="single"/>
        </w:rPr>
      </w:pPr>
      <w:r>
        <w:rPr>
          <w:rFonts w:hint="eastAsia" w:hAnsi="宋体" w:cs="宋体"/>
          <w:sz w:val="24"/>
        </w:rPr>
        <w:t>经研究，我们决定参加编号为</w:t>
      </w:r>
      <w:r>
        <w:rPr>
          <w:rFonts w:hint="eastAsia" w:hAnsi="宋体" w:cs="宋体"/>
          <w:color w:val="auto"/>
          <w:sz w:val="24"/>
          <w:highlight w:val="none"/>
          <w:lang w:val="en-US" w:eastAsia="zh-CN"/>
        </w:rPr>
        <w:t>xx</w:t>
      </w:r>
      <w:r>
        <w:rPr>
          <w:rFonts w:hint="eastAsia" w:hAnsi="宋体" w:cs="宋体"/>
          <w:sz w:val="24"/>
        </w:rPr>
        <w:t>的采购项目并报价。为此，我方郑重声明以下诸点，并负法律责任。</w:t>
      </w:r>
    </w:p>
    <w:p w14:paraId="7276B681">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rPr>
      </w:pPr>
      <w:r>
        <w:rPr>
          <w:rFonts w:hint="eastAsia" w:hAnsi="宋体" w:cs="宋体"/>
          <w:sz w:val="24"/>
        </w:rPr>
        <w:t>1、我方提交的响应文件，正本一份，副本三份。</w:t>
      </w:r>
    </w:p>
    <w:p w14:paraId="632591A7">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rPr>
      </w:pPr>
      <w:r>
        <w:rPr>
          <w:rFonts w:hint="eastAsia" w:hAnsi="宋体" w:cs="宋体"/>
          <w:sz w:val="24"/>
        </w:rPr>
        <w:t>2、如果我方的响应文件被接受，我们将履行竞争性磋商文件中规定的每一项要求，并按我方响应文件中的承诺按期、保质、保量完成项目的实施。</w:t>
      </w:r>
    </w:p>
    <w:p w14:paraId="34ED9004">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rPr>
      </w:pPr>
      <w:r>
        <w:rPr>
          <w:rFonts w:hint="eastAsia" w:hAnsi="宋体" w:cs="宋体"/>
          <w:sz w:val="24"/>
        </w:rPr>
        <w:t>3、我们理解，最低报价不是成交的唯一条件，同时认可本次竞争性磋商文件中评审委员会选择成交供应商的方式和权利。</w:t>
      </w:r>
    </w:p>
    <w:p w14:paraId="58EC2A0D">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rPr>
      </w:pPr>
      <w:r>
        <w:rPr>
          <w:rFonts w:hint="eastAsia" w:hAnsi="宋体" w:cs="宋体"/>
          <w:sz w:val="24"/>
        </w:rPr>
        <w:t>4、我们承诺，响应文件不存在复制、粘贴磋商文件主要规格技术参数的情况。</w:t>
      </w:r>
    </w:p>
    <w:p w14:paraId="48BD3A0C">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rPr>
      </w:pPr>
      <w:r>
        <w:rPr>
          <w:rFonts w:hint="eastAsia" w:hAnsi="宋体" w:cs="宋体"/>
          <w:sz w:val="24"/>
        </w:rPr>
        <w:t>5、我方已详细检查所有响应文件、附件以及所提供的参考文件，有模糊和误解产生的一切后果，由我方自负。</w:t>
      </w:r>
    </w:p>
    <w:p w14:paraId="4B5066D7">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rPr>
      </w:pPr>
      <w:r>
        <w:rPr>
          <w:rFonts w:hint="eastAsia" w:hAnsi="宋体" w:cs="宋体"/>
          <w:sz w:val="24"/>
          <w:lang w:val="en-US" w:eastAsia="zh-CN"/>
        </w:rPr>
        <w:t>6</w:t>
      </w:r>
      <w:r>
        <w:rPr>
          <w:rFonts w:hint="eastAsia" w:hAnsi="宋体" w:cs="宋体"/>
          <w:sz w:val="24"/>
        </w:rPr>
        <w:t>、我们同意按照竞争性磋商文件的要求，提供与递交响应文件有关的数据和资料。</w:t>
      </w:r>
    </w:p>
    <w:p w14:paraId="5C8253B5">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rPr>
      </w:pPr>
      <w:r>
        <w:rPr>
          <w:rFonts w:hint="eastAsia" w:hAnsi="宋体" w:cs="宋体"/>
          <w:sz w:val="24"/>
          <w:lang w:val="en-US" w:eastAsia="zh-CN"/>
        </w:rPr>
        <w:t>7</w:t>
      </w:r>
      <w:r>
        <w:rPr>
          <w:rFonts w:hint="eastAsia" w:hAnsi="宋体" w:cs="宋体"/>
          <w:sz w:val="24"/>
        </w:rPr>
        <w:t>、我方愿按《中华人民共和国民法典》履行自己的全部责任。</w:t>
      </w:r>
    </w:p>
    <w:p w14:paraId="4BBE73ED">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highlight w:val="none"/>
        </w:rPr>
      </w:pPr>
      <w:r>
        <w:rPr>
          <w:rFonts w:hint="eastAsia" w:hAnsi="宋体" w:cs="宋体"/>
          <w:sz w:val="24"/>
          <w:highlight w:val="none"/>
        </w:rPr>
        <w:t>地址：</w:t>
      </w:r>
    </w:p>
    <w:p w14:paraId="3011DE23">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highlight w:val="none"/>
        </w:rPr>
      </w:pPr>
      <w:r>
        <w:rPr>
          <w:rFonts w:hint="eastAsia" w:hAnsi="宋体" w:cs="宋体"/>
          <w:sz w:val="24"/>
          <w:highlight w:val="none"/>
        </w:rPr>
        <w:t>邮政编码：</w:t>
      </w:r>
    </w:p>
    <w:p w14:paraId="4B4FB8D4">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highlight w:val="none"/>
        </w:rPr>
      </w:pPr>
      <w:r>
        <w:rPr>
          <w:rFonts w:hint="eastAsia" w:hAnsi="宋体" w:cs="宋体"/>
          <w:sz w:val="24"/>
          <w:highlight w:val="none"/>
        </w:rPr>
        <w:t>电话：</w:t>
      </w:r>
    </w:p>
    <w:p w14:paraId="4DAB3718">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highlight w:val="none"/>
        </w:rPr>
      </w:pPr>
      <w:r>
        <w:rPr>
          <w:rFonts w:hint="eastAsia" w:hAnsi="宋体" w:cs="宋体"/>
          <w:sz w:val="24"/>
          <w:highlight w:val="none"/>
        </w:rPr>
        <w:t>传真：</w:t>
      </w:r>
    </w:p>
    <w:p w14:paraId="5C775833">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highlight w:val="none"/>
        </w:rPr>
      </w:pPr>
      <w:r>
        <w:rPr>
          <w:rFonts w:hint="eastAsia" w:hAnsi="宋体" w:cs="宋体"/>
          <w:sz w:val="24"/>
          <w:highlight w:val="none"/>
        </w:rPr>
        <w:t>基本户开户银行：</w:t>
      </w:r>
    </w:p>
    <w:p w14:paraId="49131687">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highlight w:val="yellow"/>
        </w:rPr>
      </w:pPr>
      <w:r>
        <w:rPr>
          <w:rFonts w:hint="eastAsia" w:hAnsi="宋体" w:cs="宋体"/>
          <w:sz w:val="24"/>
          <w:highlight w:val="none"/>
        </w:rPr>
        <w:t>银行账号：</w:t>
      </w:r>
    </w:p>
    <w:p w14:paraId="1970A997">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rPr>
      </w:pPr>
      <w:r>
        <w:rPr>
          <w:rFonts w:hint="eastAsia" w:hAnsi="宋体" w:cs="宋体"/>
          <w:sz w:val="24"/>
        </w:rPr>
        <w:t>供应商全称（公章）：</w:t>
      </w:r>
    </w:p>
    <w:p w14:paraId="484ACC69">
      <w:pPr>
        <w:tabs>
          <w:tab w:val="left" w:pos="0"/>
          <w:tab w:val="left" w:pos="720"/>
          <w:tab w:val="left" w:pos="1440"/>
          <w:tab w:val="left" w:pos="2160"/>
          <w:tab w:val="left" w:pos="2880"/>
          <w:tab w:val="left" w:pos="3600"/>
          <w:tab w:val="left" w:pos="4320"/>
        </w:tabs>
        <w:autoSpaceDE w:val="0"/>
        <w:autoSpaceDN w:val="0"/>
        <w:adjustRightInd w:val="0"/>
        <w:spacing w:line="480" w:lineRule="exact"/>
        <w:ind w:left="560"/>
        <w:rPr>
          <w:rFonts w:hAnsi="宋体" w:cs="宋体"/>
          <w:sz w:val="24"/>
        </w:rPr>
      </w:pPr>
      <w:r>
        <w:rPr>
          <w:rFonts w:hint="eastAsia" w:hAnsi="宋体" w:cs="宋体"/>
          <w:sz w:val="24"/>
        </w:rPr>
        <w:t>法定代表人签字：                                    年   月   日</w:t>
      </w:r>
    </w:p>
    <w:p w14:paraId="5106C7B0">
      <w:pPr>
        <w:pStyle w:val="5"/>
        <w:rPr>
          <w:rFonts w:cs="宋体"/>
        </w:rPr>
      </w:pPr>
      <w:r>
        <w:rPr>
          <w:rFonts w:hint="eastAsia" w:cs="宋体"/>
          <w:sz w:val="24"/>
        </w:rPr>
        <w:br w:type="page"/>
      </w:r>
      <w:bookmarkStart w:id="33" w:name="_Toc323129568"/>
      <w:bookmarkStart w:id="34" w:name="_Toc323130135"/>
      <w:bookmarkStart w:id="35" w:name="_Toc325620729"/>
      <w:bookmarkStart w:id="36" w:name="_Toc6393"/>
      <w:bookmarkStart w:id="37" w:name="_Toc356491343"/>
      <w:r>
        <w:rPr>
          <w:rFonts w:hint="eastAsia" w:cs="宋体"/>
        </w:rPr>
        <w:t>附件二</w:t>
      </w:r>
      <w:bookmarkEnd w:id="33"/>
      <w:bookmarkEnd w:id="34"/>
      <w:r>
        <w:rPr>
          <w:rFonts w:hint="eastAsia" w:cs="宋体"/>
        </w:rPr>
        <w:t>：法定代表人授权委托书</w:t>
      </w:r>
      <w:bookmarkEnd w:id="35"/>
      <w:bookmarkEnd w:id="36"/>
      <w:bookmarkEnd w:id="37"/>
    </w:p>
    <w:p w14:paraId="110497B6">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Ansi="宋体" w:cs="宋体"/>
          <w:b/>
          <w:bCs w:val="0"/>
          <w:sz w:val="36"/>
        </w:rPr>
      </w:pPr>
    </w:p>
    <w:p w14:paraId="1DEF5424">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280" w:firstLineChars="100"/>
        <w:jc w:val="center"/>
        <w:rPr>
          <w:rFonts w:hAnsi="宋体" w:cs="宋体"/>
          <w:szCs w:val="28"/>
        </w:rPr>
      </w:pPr>
      <w:r>
        <w:rPr>
          <w:rFonts w:hint="eastAsia" w:hAnsi="宋体" w:cs="宋体"/>
          <w:szCs w:val="28"/>
        </w:rPr>
        <w:t>法定代表人授权委托书</w:t>
      </w:r>
    </w:p>
    <w:p w14:paraId="36437AE6">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645"/>
        <w:rPr>
          <w:rFonts w:hAnsi="宋体" w:cs="宋体"/>
          <w:sz w:val="24"/>
        </w:rPr>
      </w:pPr>
    </w:p>
    <w:p w14:paraId="642C46A3">
      <w:pPr>
        <w:pStyle w:val="7"/>
        <w:tabs>
          <w:tab w:val="left" w:pos="382"/>
        </w:tabs>
        <w:snapToGrid w:val="0"/>
        <w:spacing w:line="480" w:lineRule="exact"/>
        <w:ind w:left="252" w:leftChars="90" w:right="284" w:firstLine="480" w:firstLineChars="200"/>
        <w:rPr>
          <w:rFonts w:cs="宋体"/>
          <w:sz w:val="24"/>
        </w:rPr>
      </w:pPr>
      <w:r>
        <w:rPr>
          <w:rFonts w:hint="eastAsia" w:cs="宋体"/>
          <w:sz w:val="24"/>
          <w:u w:val="single"/>
        </w:rPr>
        <w:t xml:space="preserve">                         </w:t>
      </w:r>
      <w:r>
        <w:rPr>
          <w:rFonts w:hint="eastAsia" w:cs="宋体"/>
          <w:sz w:val="24"/>
        </w:rPr>
        <w:t>（供应商名称）法定代表人</w:t>
      </w:r>
      <w:r>
        <w:rPr>
          <w:rFonts w:hint="eastAsia" w:cs="宋体"/>
          <w:sz w:val="24"/>
          <w:u w:val="single"/>
        </w:rPr>
        <w:t xml:space="preserve">                     </w:t>
      </w:r>
      <w:r>
        <w:rPr>
          <w:rFonts w:hint="eastAsia" w:cs="宋体"/>
          <w:sz w:val="24"/>
        </w:rPr>
        <w:t>，现授权委托</w:t>
      </w:r>
      <w:r>
        <w:rPr>
          <w:rFonts w:hint="eastAsia" w:cs="宋体"/>
          <w:sz w:val="24"/>
          <w:u w:val="single"/>
        </w:rPr>
        <w:t xml:space="preserve">             </w:t>
      </w:r>
      <w:r>
        <w:rPr>
          <w:rFonts w:hint="eastAsia" w:cs="宋体"/>
          <w:sz w:val="24"/>
        </w:rPr>
        <w:t xml:space="preserve"> （单位名称）的</w:t>
      </w:r>
      <w:r>
        <w:rPr>
          <w:rFonts w:hint="eastAsia" w:cs="宋体"/>
          <w:sz w:val="24"/>
          <w:u w:val="single"/>
        </w:rPr>
        <w:t xml:space="preserve">           </w:t>
      </w:r>
      <w:r>
        <w:rPr>
          <w:rFonts w:hint="eastAsia" w:cs="宋体"/>
          <w:sz w:val="24"/>
        </w:rPr>
        <w:t>、</w:t>
      </w:r>
      <w:r>
        <w:rPr>
          <w:rFonts w:hint="eastAsia" w:cs="宋体"/>
          <w:sz w:val="24"/>
          <w:u w:val="single"/>
        </w:rPr>
        <w:t xml:space="preserve">       </w:t>
      </w:r>
      <w:r>
        <w:rPr>
          <w:rFonts w:hint="eastAsia" w:cs="宋体"/>
          <w:sz w:val="24"/>
        </w:rPr>
        <w:t>（姓名、职务）为我公司全权代理人，以本公司的名义参加</w:t>
      </w:r>
      <w:r>
        <w:rPr>
          <w:rFonts w:hint="eastAsia" w:cs="宋体"/>
          <w:sz w:val="24"/>
          <w:lang w:val="en-US" w:eastAsia="zh-CN"/>
        </w:rPr>
        <w:t>大庆市人民医院</w:t>
      </w:r>
      <w:r>
        <w:rPr>
          <w:rFonts w:hint="eastAsia" w:cs="宋体"/>
          <w:sz w:val="24"/>
        </w:rPr>
        <w:t>组织的本次磋商项目，全权处理磋商过程有关的一切事务。授权代理人在本项目执行过程中所签署的一切文件，我均予以承认。</w:t>
      </w:r>
    </w:p>
    <w:p w14:paraId="5A08F7F3">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240" w:firstLineChars="100"/>
        <w:rPr>
          <w:rFonts w:hAnsi="宋体" w:cs="宋体"/>
          <w:sz w:val="24"/>
        </w:rPr>
      </w:pPr>
    </w:p>
    <w:p w14:paraId="6BCB298E">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645"/>
        <w:rPr>
          <w:rFonts w:hAnsi="宋体" w:cs="宋体"/>
          <w:sz w:val="24"/>
        </w:rPr>
      </w:pPr>
      <w:r>
        <w:rPr>
          <w:rFonts w:hint="eastAsia" w:hAnsi="宋体" w:cs="宋体"/>
          <w:sz w:val="24"/>
        </w:rPr>
        <w:t>特此委托。</w:t>
      </w:r>
    </w:p>
    <w:p w14:paraId="6D9F427B">
      <w:pPr>
        <w:tabs>
          <w:tab w:val="left" w:pos="0"/>
          <w:tab w:val="left" w:pos="720"/>
          <w:tab w:val="left" w:pos="1440"/>
          <w:tab w:val="left" w:pos="2160"/>
          <w:tab w:val="left" w:pos="2880"/>
          <w:tab w:val="left" w:pos="3600"/>
          <w:tab w:val="left" w:pos="4320"/>
        </w:tabs>
        <w:autoSpaceDE w:val="0"/>
        <w:autoSpaceDN w:val="0"/>
        <w:adjustRightInd w:val="0"/>
        <w:spacing w:line="480" w:lineRule="exact"/>
        <w:jc w:val="left"/>
        <w:rPr>
          <w:rFonts w:hAnsi="宋体" w:cs="宋体"/>
          <w:bCs w:val="0"/>
          <w:sz w:val="24"/>
        </w:rPr>
      </w:pPr>
    </w:p>
    <w:p w14:paraId="051D95D2">
      <w:pPr>
        <w:tabs>
          <w:tab w:val="left" w:pos="0"/>
          <w:tab w:val="left" w:pos="720"/>
          <w:tab w:val="left" w:pos="1440"/>
          <w:tab w:val="left" w:pos="2160"/>
          <w:tab w:val="left" w:pos="2880"/>
          <w:tab w:val="left" w:pos="3600"/>
          <w:tab w:val="left" w:pos="4320"/>
        </w:tabs>
        <w:autoSpaceDE w:val="0"/>
        <w:autoSpaceDN w:val="0"/>
        <w:adjustRightInd w:val="0"/>
        <w:spacing w:line="480" w:lineRule="exact"/>
        <w:jc w:val="left"/>
        <w:rPr>
          <w:rFonts w:hAnsi="宋体" w:cs="宋体"/>
          <w:bCs w:val="0"/>
          <w:sz w:val="24"/>
        </w:rPr>
      </w:pPr>
    </w:p>
    <w:p w14:paraId="5EA93DA0">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1695"/>
        <w:jc w:val="center"/>
        <w:rPr>
          <w:rFonts w:hAnsi="宋体" w:cs="宋体"/>
          <w:bCs w:val="0"/>
          <w:sz w:val="24"/>
        </w:rPr>
      </w:pPr>
      <w:r>
        <w:rPr>
          <w:rFonts w:hint="eastAsia" w:hAnsi="宋体" w:cs="宋体"/>
          <w:bCs w:val="0"/>
          <w:sz w:val="24"/>
        </w:rPr>
        <w:t>（附授权代理人身份证明复印件）</w:t>
      </w:r>
    </w:p>
    <w:p w14:paraId="0BE48B90">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hAnsi="宋体" w:cs="宋体"/>
          <w:bCs w:val="0"/>
          <w:sz w:val="24"/>
        </w:rPr>
      </w:pPr>
    </w:p>
    <w:p w14:paraId="24A82993">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570"/>
        <w:rPr>
          <w:rFonts w:hAnsi="宋体" w:cs="宋体"/>
          <w:bCs w:val="0"/>
          <w:sz w:val="24"/>
        </w:rPr>
      </w:pPr>
    </w:p>
    <w:p w14:paraId="556A5147">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570"/>
        <w:rPr>
          <w:rFonts w:hAnsi="宋体" w:cs="宋体"/>
          <w:bCs w:val="0"/>
          <w:sz w:val="24"/>
        </w:rPr>
      </w:pPr>
    </w:p>
    <w:p w14:paraId="0078EDC8">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570"/>
        <w:rPr>
          <w:rFonts w:hAnsi="宋体" w:cs="宋体"/>
          <w:bCs w:val="0"/>
          <w:sz w:val="24"/>
        </w:rPr>
      </w:pPr>
      <w:r>
        <w:rPr>
          <w:rFonts w:hint="eastAsia" w:hAnsi="宋体" w:cs="宋体"/>
          <w:bCs w:val="0"/>
          <w:sz w:val="24"/>
        </w:rPr>
        <w:t xml:space="preserve">全权代表姓名：     性别：     年龄： </w:t>
      </w:r>
    </w:p>
    <w:p w14:paraId="7F7C5BA4">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570"/>
        <w:rPr>
          <w:rFonts w:hAnsi="宋体" w:cs="宋体"/>
          <w:bCs w:val="0"/>
          <w:sz w:val="24"/>
        </w:rPr>
      </w:pPr>
      <w:r>
        <w:rPr>
          <w:rFonts w:hint="eastAsia" w:hAnsi="宋体" w:cs="宋体"/>
          <w:bCs w:val="0"/>
          <w:sz w:val="24"/>
        </w:rPr>
        <w:t xml:space="preserve">   </w:t>
      </w:r>
    </w:p>
    <w:p w14:paraId="6D56523D">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570"/>
        <w:rPr>
          <w:rFonts w:hAnsi="宋体" w:cs="宋体"/>
          <w:bCs w:val="0"/>
          <w:sz w:val="24"/>
        </w:rPr>
      </w:pPr>
      <w:r>
        <w:rPr>
          <w:rFonts w:hint="eastAsia" w:hAnsi="宋体" w:cs="宋体"/>
          <w:bCs w:val="0"/>
          <w:sz w:val="24"/>
        </w:rPr>
        <w:t>单位：             部门：     职务</w:t>
      </w:r>
    </w:p>
    <w:p w14:paraId="179430FD">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645"/>
        <w:rPr>
          <w:rFonts w:hAnsi="宋体" w:cs="宋体"/>
          <w:bCs w:val="0"/>
          <w:sz w:val="24"/>
        </w:rPr>
      </w:pPr>
    </w:p>
    <w:p w14:paraId="3201AC62">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645"/>
        <w:rPr>
          <w:rFonts w:hAnsi="宋体" w:cs="宋体"/>
          <w:bCs w:val="0"/>
          <w:sz w:val="24"/>
        </w:rPr>
      </w:pPr>
      <w:r>
        <w:rPr>
          <w:rFonts w:hint="eastAsia" w:hAnsi="宋体" w:cs="宋体"/>
          <w:bCs w:val="0"/>
          <w:sz w:val="24"/>
        </w:rPr>
        <w:t>供应商（盖章）：</w:t>
      </w:r>
    </w:p>
    <w:p w14:paraId="61DACC1B">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645"/>
        <w:rPr>
          <w:rFonts w:hAnsi="宋体" w:cs="宋体"/>
          <w:bCs w:val="0"/>
          <w:sz w:val="24"/>
        </w:rPr>
      </w:pPr>
    </w:p>
    <w:p w14:paraId="666B8246">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645"/>
        <w:rPr>
          <w:rFonts w:hAnsi="宋体" w:cs="宋体"/>
          <w:bCs w:val="0"/>
          <w:sz w:val="24"/>
        </w:rPr>
      </w:pPr>
      <w:r>
        <w:rPr>
          <w:rFonts w:hint="eastAsia" w:hAnsi="宋体" w:cs="宋体"/>
          <w:bCs w:val="0"/>
          <w:sz w:val="24"/>
        </w:rPr>
        <w:t>法定代表人（签字或盖章）：</w:t>
      </w:r>
    </w:p>
    <w:p w14:paraId="2C6E0500">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645"/>
        <w:rPr>
          <w:rFonts w:hAnsi="宋体" w:cs="宋体"/>
          <w:bCs w:val="0"/>
          <w:sz w:val="24"/>
        </w:rPr>
      </w:pPr>
    </w:p>
    <w:p w14:paraId="6AACC12D">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645"/>
        <w:rPr>
          <w:rFonts w:hAnsi="宋体" w:cs="宋体"/>
          <w:bCs w:val="0"/>
          <w:sz w:val="24"/>
        </w:rPr>
      </w:pPr>
      <w:r>
        <w:rPr>
          <w:rFonts w:hint="eastAsia" w:hAnsi="宋体" w:cs="宋体"/>
          <w:bCs w:val="0"/>
          <w:sz w:val="24"/>
        </w:rPr>
        <w:t>日期：   年   月  日</w:t>
      </w:r>
    </w:p>
    <w:p w14:paraId="1B1FCD46">
      <w:pPr>
        <w:pStyle w:val="5"/>
        <w:rPr>
          <w:rFonts w:cs="宋体"/>
        </w:rPr>
      </w:pPr>
      <w:bookmarkStart w:id="38" w:name="_Toc323129569"/>
      <w:bookmarkStart w:id="39" w:name="_Toc323130136"/>
      <w:bookmarkStart w:id="40" w:name="_Toc356491344"/>
      <w:bookmarkStart w:id="41" w:name="_Toc356490395"/>
      <w:bookmarkStart w:id="42" w:name="_Toc29050"/>
      <w:bookmarkStart w:id="43" w:name="_Toc325620730"/>
      <w:r>
        <w:rPr>
          <w:rFonts w:hint="eastAsia" w:cs="宋体"/>
        </w:rPr>
        <w:t>附件三</w:t>
      </w:r>
      <w:bookmarkEnd w:id="38"/>
      <w:bookmarkEnd w:id="39"/>
      <w:r>
        <w:rPr>
          <w:rFonts w:hint="eastAsia" w:cs="宋体"/>
        </w:rPr>
        <w:t>：报  价 一 览 表</w:t>
      </w:r>
      <w:bookmarkEnd w:id="40"/>
      <w:bookmarkEnd w:id="41"/>
      <w:bookmarkEnd w:id="42"/>
      <w:bookmarkEnd w:id="43"/>
    </w:p>
    <w:p w14:paraId="1A62407E">
      <w:pPr>
        <w:pStyle w:val="7"/>
        <w:spacing w:line="460" w:lineRule="exact"/>
        <w:jc w:val="center"/>
        <w:rPr>
          <w:rFonts w:cs="宋体"/>
          <w:b/>
        </w:rPr>
      </w:pPr>
    </w:p>
    <w:p w14:paraId="110E9ED5">
      <w:pPr>
        <w:pStyle w:val="7"/>
        <w:spacing w:line="460" w:lineRule="exact"/>
        <w:jc w:val="center"/>
        <w:rPr>
          <w:rFonts w:cs="宋体"/>
          <w:sz w:val="28"/>
          <w:szCs w:val="28"/>
        </w:rPr>
      </w:pPr>
      <w:r>
        <w:rPr>
          <w:rFonts w:hint="eastAsia" w:cs="宋体"/>
          <w:sz w:val="28"/>
          <w:szCs w:val="28"/>
        </w:rPr>
        <w:t>报  价 一 览 表</w:t>
      </w:r>
    </w:p>
    <w:p w14:paraId="74AD907A">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hAnsi="宋体" w:cs="宋体"/>
          <w:bCs w:val="0"/>
          <w:sz w:val="24"/>
          <w:u w:val="single"/>
        </w:rPr>
      </w:pPr>
      <w:r>
        <w:rPr>
          <w:rFonts w:hint="eastAsia" w:hAnsi="宋体" w:cs="宋体"/>
          <w:bCs w:val="0"/>
          <w:sz w:val="24"/>
        </w:rPr>
        <w:t>项目编号：</w:t>
      </w:r>
      <w:r>
        <w:rPr>
          <w:rFonts w:hint="eastAsia" w:hAnsi="宋体" w:cs="宋体"/>
          <w:bCs w:val="0"/>
          <w:sz w:val="24"/>
          <w:u w:val="single"/>
        </w:rPr>
        <w:t xml:space="preserve">                           </w:t>
      </w:r>
    </w:p>
    <w:p w14:paraId="3E032F8F">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hAnsi="宋体" w:cs="宋体"/>
          <w:bCs w:val="0"/>
          <w:sz w:val="24"/>
        </w:rPr>
      </w:pPr>
      <w:r>
        <w:rPr>
          <w:rFonts w:hint="eastAsia" w:hAnsi="宋体" w:cs="宋体"/>
          <w:bCs w:val="0"/>
          <w:sz w:val="24"/>
        </w:rPr>
        <w:t>供应商名称（公章）：</w:t>
      </w:r>
      <w:r>
        <w:rPr>
          <w:rFonts w:hint="eastAsia" w:hAnsi="宋体" w:cs="宋体"/>
          <w:bCs w:val="0"/>
          <w:sz w:val="24"/>
          <w:u w:val="single"/>
        </w:rPr>
        <w:t xml:space="preserve">            </w:t>
      </w:r>
      <w:r>
        <w:rPr>
          <w:rFonts w:hint="eastAsia" w:hAnsi="宋体" w:cs="宋体"/>
          <w:bCs w:val="0"/>
          <w:sz w:val="24"/>
        </w:rPr>
        <w:t>法定代表人或授权代理人签字：</w:t>
      </w:r>
      <w:r>
        <w:rPr>
          <w:rFonts w:hint="eastAsia" w:hAnsi="宋体" w:cs="宋体"/>
          <w:bCs w:val="0"/>
          <w:sz w:val="24"/>
          <w:u w:val="single"/>
        </w:rPr>
        <w:t xml:space="preserve">          </w:t>
      </w:r>
      <w:r>
        <w:rPr>
          <w:rFonts w:hint="eastAsia" w:hAnsi="宋体" w:cs="宋体"/>
          <w:bCs w:val="0"/>
          <w:sz w:val="24"/>
        </w:rPr>
        <w:t xml:space="preserve">  </w:t>
      </w:r>
    </w:p>
    <w:p w14:paraId="6EFC63E3">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hAnsi="宋体" w:cs="宋体"/>
          <w:bCs w:val="0"/>
          <w:sz w:val="24"/>
          <w:u w:val="single"/>
        </w:rPr>
      </w:pPr>
      <w:r>
        <w:rPr>
          <w:rFonts w:hint="eastAsia" w:hAnsi="宋体" w:cs="宋体"/>
          <w:bCs w:val="0"/>
          <w:sz w:val="24"/>
        </w:rPr>
        <w:t xml:space="preserve">                                                 单位：</w:t>
      </w:r>
      <w:r>
        <w:rPr>
          <w:rFonts w:hint="eastAsia" w:hAnsi="宋体" w:cs="宋体"/>
          <w:bCs w:val="0"/>
          <w:sz w:val="24"/>
          <w:u w:val="single"/>
        </w:rPr>
        <w:t xml:space="preserve">   元    </w:t>
      </w:r>
    </w:p>
    <w:tbl>
      <w:tblPr>
        <w:tblStyle w:val="16"/>
        <w:tblW w:w="4997" w:type="pct"/>
        <w:jc w:val="center"/>
        <w:tblLayout w:type="fixed"/>
        <w:tblCellMar>
          <w:top w:w="0" w:type="dxa"/>
          <w:left w:w="108" w:type="dxa"/>
          <w:bottom w:w="0" w:type="dxa"/>
          <w:right w:w="108" w:type="dxa"/>
        </w:tblCellMar>
      </w:tblPr>
      <w:tblGrid>
        <w:gridCol w:w="1660"/>
        <w:gridCol w:w="4557"/>
        <w:gridCol w:w="2300"/>
      </w:tblGrid>
      <w:tr w14:paraId="289E1A27">
        <w:tblPrEx>
          <w:tblCellMar>
            <w:top w:w="0" w:type="dxa"/>
            <w:left w:w="108" w:type="dxa"/>
            <w:bottom w:w="0" w:type="dxa"/>
            <w:right w:w="108" w:type="dxa"/>
          </w:tblCellMar>
        </w:tblPrEx>
        <w:trPr>
          <w:trHeight w:val="1211" w:hRule="atLeast"/>
          <w:jc w:val="center"/>
        </w:trPr>
        <w:tc>
          <w:tcPr>
            <w:tcW w:w="6453" w:type="dxa"/>
            <w:gridSpan w:val="2"/>
            <w:tcBorders>
              <w:top w:val="single" w:color="auto" w:sz="8" w:space="0"/>
              <w:left w:val="single" w:color="auto" w:sz="8" w:space="0"/>
              <w:right w:val="single" w:color="auto" w:sz="8" w:space="0"/>
            </w:tcBorders>
            <w:vAlign w:val="center"/>
          </w:tcPr>
          <w:p w14:paraId="78AE74A9">
            <w:pPr>
              <w:autoSpaceDE w:val="0"/>
              <w:autoSpaceDN w:val="0"/>
              <w:adjustRightInd w:val="0"/>
              <w:spacing w:line="440" w:lineRule="exact"/>
              <w:jc w:val="center"/>
              <w:rPr>
                <w:rFonts w:hAnsi="宋体" w:cs="宋体"/>
                <w:sz w:val="24"/>
                <w:lang w:val="zh-CN"/>
              </w:rPr>
            </w:pPr>
            <w:r>
              <w:rPr>
                <w:rFonts w:hint="eastAsia" w:hAnsi="宋体" w:cs="宋体"/>
                <w:sz w:val="24"/>
                <w:lang w:val="en-US" w:eastAsia="zh-CN"/>
              </w:rPr>
              <w:t>医疗项目</w:t>
            </w:r>
            <w:r>
              <w:rPr>
                <w:rFonts w:hint="eastAsia" w:hAnsi="宋体" w:cs="宋体"/>
                <w:sz w:val="24"/>
              </w:rPr>
              <w:t>患者收费金额所报折扣（%）</w:t>
            </w:r>
          </w:p>
        </w:tc>
        <w:tc>
          <w:tcPr>
            <w:tcW w:w="2389" w:type="dxa"/>
            <w:tcBorders>
              <w:top w:val="single" w:color="auto" w:sz="8" w:space="0"/>
              <w:left w:val="nil"/>
              <w:bottom w:val="single" w:color="auto" w:sz="4" w:space="0"/>
              <w:right w:val="single" w:color="auto" w:sz="8" w:space="0"/>
            </w:tcBorders>
            <w:vAlign w:val="center"/>
          </w:tcPr>
          <w:p w14:paraId="6271FF5E">
            <w:pPr>
              <w:autoSpaceDE w:val="0"/>
              <w:autoSpaceDN w:val="0"/>
              <w:adjustRightInd w:val="0"/>
              <w:spacing w:line="440" w:lineRule="exact"/>
              <w:jc w:val="center"/>
              <w:rPr>
                <w:rFonts w:hAnsi="宋体" w:cs="宋体"/>
                <w:sz w:val="24"/>
                <w:lang w:val="zh-CN"/>
              </w:rPr>
            </w:pPr>
            <w:r>
              <w:rPr>
                <w:rFonts w:hint="eastAsia" w:hAnsi="宋体" w:cs="宋体"/>
                <w:sz w:val="24"/>
                <w:lang w:val="zh-CN"/>
              </w:rPr>
              <w:t>质保期</w:t>
            </w:r>
          </w:p>
        </w:tc>
      </w:tr>
      <w:tr w14:paraId="4F9E940F">
        <w:tblPrEx>
          <w:tblCellMar>
            <w:top w:w="0" w:type="dxa"/>
            <w:left w:w="108" w:type="dxa"/>
            <w:bottom w:w="0" w:type="dxa"/>
            <w:right w:w="108" w:type="dxa"/>
          </w:tblCellMar>
        </w:tblPrEx>
        <w:trPr>
          <w:trHeight w:val="851" w:hRule="atLeast"/>
          <w:jc w:val="center"/>
        </w:trPr>
        <w:tc>
          <w:tcPr>
            <w:tcW w:w="1723" w:type="dxa"/>
            <w:vMerge w:val="restart"/>
            <w:tcBorders>
              <w:top w:val="single" w:color="auto" w:sz="8" w:space="0"/>
              <w:left w:val="single" w:color="auto" w:sz="8" w:space="0"/>
              <w:right w:val="single" w:color="auto" w:sz="8" w:space="0"/>
            </w:tcBorders>
            <w:vAlign w:val="center"/>
          </w:tcPr>
          <w:p w14:paraId="6FDA6438">
            <w:pPr>
              <w:autoSpaceDE w:val="0"/>
              <w:autoSpaceDN w:val="0"/>
              <w:adjustRightInd w:val="0"/>
              <w:spacing w:line="440" w:lineRule="exact"/>
              <w:jc w:val="center"/>
              <w:rPr>
                <w:rFonts w:hAnsi="宋体" w:cs="宋体"/>
                <w:sz w:val="24"/>
                <w:lang w:val="zh-CN"/>
              </w:rPr>
            </w:pPr>
            <w:r>
              <w:rPr>
                <w:rFonts w:hint="eastAsia" w:hAnsi="宋体" w:cs="宋体"/>
                <w:sz w:val="24"/>
                <w:lang w:val="zh-CN"/>
              </w:rPr>
              <w:t>总计</w:t>
            </w:r>
          </w:p>
        </w:tc>
        <w:tc>
          <w:tcPr>
            <w:tcW w:w="4730" w:type="dxa"/>
            <w:tcBorders>
              <w:top w:val="single" w:color="auto" w:sz="8" w:space="0"/>
              <w:left w:val="nil"/>
              <w:bottom w:val="single" w:color="auto" w:sz="8" w:space="0"/>
              <w:right w:val="single" w:color="auto" w:sz="8" w:space="0"/>
            </w:tcBorders>
            <w:vAlign w:val="center"/>
          </w:tcPr>
          <w:p w14:paraId="19033DAA">
            <w:pPr>
              <w:pStyle w:val="20"/>
              <w:spacing w:line="440" w:lineRule="exact"/>
              <w:jc w:val="left"/>
              <w:rPr>
                <w:rFonts w:ascii="宋体" w:hAnsi="宋体" w:eastAsia="宋体"/>
                <w:szCs w:val="24"/>
              </w:rPr>
            </w:pPr>
            <w:r>
              <w:rPr>
                <w:rFonts w:hint="eastAsia" w:ascii="宋体" w:hAnsi="宋体" w:eastAsia="宋体"/>
                <w:szCs w:val="24"/>
              </w:rPr>
              <w:t>小写：</w:t>
            </w:r>
          </w:p>
        </w:tc>
        <w:tc>
          <w:tcPr>
            <w:tcW w:w="2389" w:type="dxa"/>
            <w:vMerge w:val="restart"/>
            <w:tcBorders>
              <w:top w:val="single" w:color="auto" w:sz="4" w:space="0"/>
              <w:left w:val="nil"/>
              <w:right w:val="single" w:color="auto" w:sz="8" w:space="0"/>
            </w:tcBorders>
            <w:vAlign w:val="center"/>
          </w:tcPr>
          <w:p w14:paraId="06EE5B42">
            <w:pPr>
              <w:pStyle w:val="20"/>
              <w:spacing w:line="440" w:lineRule="exact"/>
              <w:jc w:val="left"/>
              <w:rPr>
                <w:rFonts w:ascii="宋体" w:hAnsi="宋体" w:eastAsia="宋体"/>
                <w:szCs w:val="24"/>
              </w:rPr>
            </w:pPr>
          </w:p>
        </w:tc>
      </w:tr>
      <w:tr w14:paraId="3C28FC7F">
        <w:tblPrEx>
          <w:tblCellMar>
            <w:top w:w="0" w:type="dxa"/>
            <w:left w:w="108" w:type="dxa"/>
            <w:bottom w:w="0" w:type="dxa"/>
            <w:right w:w="108" w:type="dxa"/>
          </w:tblCellMar>
        </w:tblPrEx>
        <w:trPr>
          <w:trHeight w:val="851" w:hRule="atLeast"/>
          <w:jc w:val="center"/>
        </w:trPr>
        <w:tc>
          <w:tcPr>
            <w:tcW w:w="1723" w:type="dxa"/>
            <w:vMerge w:val="continue"/>
            <w:tcBorders>
              <w:left w:val="single" w:color="auto" w:sz="8" w:space="0"/>
              <w:bottom w:val="single" w:color="auto" w:sz="8" w:space="0"/>
              <w:right w:val="single" w:color="auto" w:sz="8" w:space="0"/>
            </w:tcBorders>
            <w:vAlign w:val="center"/>
          </w:tcPr>
          <w:p w14:paraId="2B6D0A58">
            <w:pPr>
              <w:autoSpaceDE w:val="0"/>
              <w:autoSpaceDN w:val="0"/>
              <w:adjustRightInd w:val="0"/>
              <w:spacing w:line="440" w:lineRule="exact"/>
              <w:jc w:val="center"/>
              <w:rPr>
                <w:rFonts w:hAnsi="宋体" w:cs="宋体"/>
                <w:sz w:val="24"/>
              </w:rPr>
            </w:pPr>
          </w:p>
        </w:tc>
        <w:tc>
          <w:tcPr>
            <w:tcW w:w="4730" w:type="dxa"/>
            <w:tcBorders>
              <w:top w:val="single" w:color="auto" w:sz="8" w:space="0"/>
              <w:left w:val="nil"/>
              <w:bottom w:val="single" w:color="auto" w:sz="8" w:space="0"/>
              <w:right w:val="single" w:color="auto" w:sz="8" w:space="0"/>
            </w:tcBorders>
            <w:vAlign w:val="center"/>
          </w:tcPr>
          <w:p w14:paraId="17E67D55">
            <w:pPr>
              <w:pStyle w:val="20"/>
              <w:spacing w:line="440" w:lineRule="exact"/>
              <w:jc w:val="left"/>
              <w:rPr>
                <w:rFonts w:ascii="宋体" w:hAnsi="宋体" w:eastAsia="宋体"/>
                <w:szCs w:val="24"/>
              </w:rPr>
            </w:pPr>
            <w:r>
              <w:rPr>
                <w:rFonts w:hint="eastAsia" w:ascii="宋体" w:hAnsi="宋体" w:eastAsia="宋体"/>
                <w:szCs w:val="24"/>
              </w:rPr>
              <w:t>大写：</w:t>
            </w:r>
          </w:p>
        </w:tc>
        <w:tc>
          <w:tcPr>
            <w:tcW w:w="2389" w:type="dxa"/>
            <w:vMerge w:val="continue"/>
            <w:tcBorders>
              <w:left w:val="nil"/>
              <w:bottom w:val="single" w:color="auto" w:sz="8" w:space="0"/>
              <w:right w:val="single" w:color="auto" w:sz="8" w:space="0"/>
            </w:tcBorders>
            <w:vAlign w:val="center"/>
          </w:tcPr>
          <w:p w14:paraId="561E2102">
            <w:pPr>
              <w:pStyle w:val="20"/>
              <w:spacing w:line="440" w:lineRule="exact"/>
              <w:jc w:val="left"/>
              <w:rPr>
                <w:rFonts w:ascii="宋体" w:hAnsi="宋体" w:eastAsia="宋体"/>
                <w:szCs w:val="24"/>
              </w:rPr>
            </w:pPr>
          </w:p>
        </w:tc>
      </w:tr>
    </w:tbl>
    <w:p w14:paraId="21367064">
      <w:pPr>
        <w:spacing w:line="360" w:lineRule="auto"/>
        <w:ind w:firstLine="480" w:firstLineChars="200"/>
        <w:rPr>
          <w:rFonts w:hAnsi="宋体" w:cs="宋体"/>
          <w:bCs w:val="0"/>
          <w:sz w:val="24"/>
        </w:rPr>
      </w:pPr>
    </w:p>
    <w:p w14:paraId="0EEDD3EC">
      <w:pPr>
        <w:spacing w:line="360" w:lineRule="auto"/>
        <w:ind w:firstLine="480" w:firstLineChars="200"/>
        <w:rPr>
          <w:rFonts w:hAnsi="宋体" w:cs="宋体"/>
          <w:sz w:val="24"/>
        </w:rPr>
      </w:pPr>
      <w:r>
        <w:rPr>
          <w:rFonts w:hint="eastAsia" w:hAnsi="宋体" w:cs="宋体"/>
          <w:bCs w:val="0"/>
          <w:sz w:val="24"/>
        </w:rPr>
        <w:t>注：1.</w:t>
      </w:r>
      <w:r>
        <w:rPr>
          <w:rFonts w:hint="eastAsia" w:hAnsi="宋体" w:cs="宋体"/>
          <w:sz w:val="24"/>
        </w:rPr>
        <w:t>供应商必须另外单独密封一套 “报价一览表”，“报价一览表”要求报价单独打印一份本表并盖章（提供原件），密封到一个信封里，现场与响应文件同时提交。在封面加盖单位公章并注明报价一览表、项目名称、供应商名称。</w:t>
      </w:r>
    </w:p>
    <w:p w14:paraId="60842C39">
      <w:pPr>
        <w:spacing w:line="360" w:lineRule="auto"/>
        <w:ind w:firstLine="1080" w:firstLineChars="450"/>
        <w:rPr>
          <w:rFonts w:hAnsi="宋体" w:cs="宋体"/>
          <w:sz w:val="24"/>
        </w:rPr>
      </w:pPr>
      <w:r>
        <w:rPr>
          <w:rFonts w:hint="eastAsia" w:hAnsi="宋体" w:cs="宋体"/>
          <w:sz w:val="24"/>
        </w:rPr>
        <w:t>2. 对于分多包的项目如果不填写所投包号,采购</w:t>
      </w:r>
      <w:r>
        <w:rPr>
          <w:rFonts w:hint="eastAsia" w:hAnsi="宋体" w:cs="宋体"/>
          <w:sz w:val="24"/>
          <w:lang w:eastAsia="zh-CN"/>
        </w:rPr>
        <w:t>人</w:t>
      </w:r>
      <w:r>
        <w:rPr>
          <w:rFonts w:hint="eastAsia" w:hAnsi="宋体" w:cs="宋体"/>
          <w:sz w:val="24"/>
        </w:rPr>
        <w:t>有权视为无效报价。</w:t>
      </w:r>
    </w:p>
    <w:p w14:paraId="611B4653">
      <w:pPr>
        <w:pStyle w:val="5"/>
        <w:rPr>
          <w:rFonts w:cs="宋体"/>
        </w:rPr>
      </w:pPr>
    </w:p>
    <w:p w14:paraId="76A41E06">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645"/>
        <w:rPr>
          <w:rFonts w:hAnsi="宋体" w:cs="宋体"/>
          <w:sz w:val="24"/>
        </w:rPr>
      </w:pPr>
    </w:p>
    <w:p w14:paraId="5B5D66B5">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645"/>
        <w:rPr>
          <w:rFonts w:hAnsi="宋体" w:cs="宋体"/>
          <w:bCs w:val="0"/>
        </w:rPr>
      </w:pPr>
      <w:r>
        <w:rPr>
          <w:rFonts w:hint="eastAsia" w:hAnsi="宋体" w:cs="宋体"/>
          <w:bCs w:val="0"/>
          <w:sz w:val="24"/>
        </w:rPr>
        <w:t xml:space="preserve">                                      </w:t>
      </w:r>
      <w:r>
        <w:rPr>
          <w:rFonts w:hint="eastAsia" w:hAnsi="宋体" w:cs="宋体"/>
          <w:bCs w:val="0"/>
        </w:rPr>
        <w:t xml:space="preserve">                </w:t>
      </w:r>
    </w:p>
    <w:p w14:paraId="690B9A49">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645"/>
        <w:jc w:val="right"/>
        <w:rPr>
          <w:rFonts w:hAnsi="宋体" w:cs="宋体"/>
          <w:sz w:val="24"/>
        </w:rPr>
      </w:pPr>
      <w:r>
        <w:rPr>
          <w:rFonts w:hint="eastAsia" w:hAnsi="宋体" w:cs="宋体"/>
          <w:bCs w:val="0"/>
        </w:rPr>
        <w:t xml:space="preserve">  </w:t>
      </w:r>
      <w:r>
        <w:rPr>
          <w:rFonts w:hint="eastAsia" w:hAnsi="宋体" w:cs="宋体"/>
          <w:sz w:val="24"/>
        </w:rPr>
        <w:t>年   月   日</w:t>
      </w:r>
    </w:p>
    <w:p w14:paraId="181F977D">
      <w:pPr>
        <w:pStyle w:val="5"/>
        <w:spacing w:line="240" w:lineRule="auto"/>
        <w:rPr>
          <w:rFonts w:cs="宋体"/>
          <w:sz w:val="24"/>
          <w:szCs w:val="24"/>
        </w:rPr>
      </w:pPr>
      <w:r>
        <w:rPr>
          <w:rFonts w:hint="eastAsia" w:cs="宋体"/>
          <w:sz w:val="24"/>
        </w:rPr>
        <w:br w:type="page"/>
      </w:r>
      <w:bookmarkStart w:id="44" w:name="_Toc30308"/>
      <w:bookmarkStart w:id="45" w:name="_Toc20460"/>
      <w:r>
        <w:rPr>
          <w:rFonts w:hint="eastAsia" w:cs="宋体"/>
        </w:rPr>
        <w:t>附件</w:t>
      </w:r>
      <w:r>
        <w:rPr>
          <w:rFonts w:hint="eastAsia" w:cs="宋体"/>
          <w:lang w:val="en-US" w:eastAsia="zh-CN"/>
        </w:rPr>
        <w:t>四</w:t>
      </w:r>
      <w:r>
        <w:rPr>
          <w:rFonts w:hint="eastAsia" w:cs="宋体"/>
        </w:rPr>
        <w:t>：</w:t>
      </w:r>
      <w:r>
        <w:rPr>
          <w:rFonts w:hint="eastAsia" w:cs="宋体"/>
          <w:lang w:val="en-US" w:eastAsia="zh-CN"/>
        </w:rPr>
        <w:t xml:space="preserve">商 务/技 术 </w:t>
      </w:r>
      <w:r>
        <w:rPr>
          <w:rFonts w:hint="eastAsia" w:cs="宋体"/>
        </w:rPr>
        <w:t>响 应 偏 离 表</w:t>
      </w:r>
      <w:bookmarkEnd w:id="44"/>
      <w:bookmarkEnd w:id="45"/>
    </w:p>
    <w:p w14:paraId="01A951C5">
      <w:pPr>
        <w:jc w:val="center"/>
        <w:rPr>
          <w:rFonts w:hAnsi="宋体" w:cs="宋体"/>
        </w:rPr>
      </w:pPr>
      <w:bookmarkStart w:id="46" w:name="_Toc356491347"/>
      <w:bookmarkStart w:id="47" w:name="_Toc415058612"/>
      <w:bookmarkStart w:id="48" w:name="_Toc356491029"/>
      <w:bookmarkStart w:id="49" w:name="_Toc357793072"/>
      <w:bookmarkStart w:id="50" w:name="_Toc362625957"/>
      <w:bookmarkStart w:id="51" w:name="_Toc375561669"/>
      <w:r>
        <w:rPr>
          <w:rFonts w:hint="eastAsia" w:hAnsi="宋体" w:cs="宋体"/>
        </w:rPr>
        <w:t>响 应 偏 离 表</w:t>
      </w:r>
      <w:bookmarkEnd w:id="46"/>
      <w:bookmarkEnd w:id="47"/>
      <w:bookmarkEnd w:id="48"/>
      <w:bookmarkEnd w:id="49"/>
      <w:bookmarkEnd w:id="50"/>
      <w:bookmarkEnd w:id="51"/>
    </w:p>
    <w:p w14:paraId="4511C0CA">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r>
        <w:rPr>
          <w:rFonts w:hint="eastAsia" w:hAnsi="宋体" w:cs="宋体"/>
          <w:bCs w:val="0"/>
          <w:sz w:val="24"/>
        </w:rPr>
        <w:t>项目编号：</w:t>
      </w:r>
      <w:r>
        <w:rPr>
          <w:rFonts w:hint="eastAsia" w:hAnsi="宋体" w:cs="宋体"/>
          <w:bCs w:val="0"/>
          <w:sz w:val="24"/>
          <w:u w:val="single"/>
        </w:rPr>
        <w:t xml:space="preserve">                        </w:t>
      </w:r>
      <w:r>
        <w:rPr>
          <w:rFonts w:hint="eastAsia" w:hAnsi="宋体" w:cs="宋体"/>
          <w:bCs w:val="0"/>
          <w:sz w:val="24"/>
        </w:rPr>
        <w:t xml:space="preserve">                      </w:t>
      </w:r>
    </w:p>
    <w:p w14:paraId="4014590C">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r>
        <w:rPr>
          <w:rFonts w:hint="eastAsia" w:hAnsi="宋体" w:cs="宋体"/>
          <w:bCs w:val="0"/>
          <w:sz w:val="24"/>
        </w:rPr>
        <w:t>供应商名称：（公章）</w:t>
      </w:r>
      <w:r>
        <w:rPr>
          <w:rFonts w:hint="eastAsia" w:hAnsi="宋体" w:cs="宋体"/>
          <w:bCs w:val="0"/>
          <w:sz w:val="24"/>
          <w:u w:val="single"/>
        </w:rPr>
        <w:t xml:space="preserve">               </w:t>
      </w:r>
      <w:r>
        <w:rPr>
          <w:rFonts w:hint="eastAsia" w:hAnsi="宋体" w:cs="宋体"/>
          <w:bCs w:val="0"/>
          <w:sz w:val="24"/>
        </w:rPr>
        <w:t>法定代表人或授权代理人签字：</w:t>
      </w:r>
      <w:r>
        <w:rPr>
          <w:rFonts w:hint="eastAsia" w:hAnsi="宋体" w:cs="宋体"/>
          <w:bCs w:val="0"/>
          <w:sz w:val="24"/>
          <w:u w:val="single"/>
        </w:rPr>
        <w:t xml:space="preserve">         </w:t>
      </w:r>
      <w:r>
        <w:rPr>
          <w:rFonts w:hint="eastAsia" w:hAnsi="宋体" w:cs="宋体"/>
          <w:bCs w:val="0"/>
          <w:sz w:val="24"/>
        </w:rPr>
        <w:t xml:space="preserve">   </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1720"/>
        <w:gridCol w:w="1552"/>
        <w:gridCol w:w="1210"/>
        <w:gridCol w:w="1425"/>
        <w:gridCol w:w="965"/>
      </w:tblGrid>
      <w:tr w14:paraId="35F84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266" w:type="dxa"/>
            <w:vAlign w:val="center"/>
          </w:tcPr>
          <w:p w14:paraId="53FA539B">
            <w:pPr>
              <w:tabs>
                <w:tab w:val="left" w:pos="0"/>
                <w:tab w:val="left" w:pos="720"/>
                <w:tab w:val="left" w:pos="1440"/>
                <w:tab w:val="left" w:pos="2160"/>
                <w:tab w:val="left" w:pos="2880"/>
                <w:tab w:val="left" w:pos="3600"/>
                <w:tab w:val="left" w:pos="4320"/>
              </w:tabs>
              <w:autoSpaceDE w:val="0"/>
              <w:autoSpaceDN w:val="0"/>
              <w:adjustRightInd w:val="0"/>
              <w:spacing w:line="600" w:lineRule="exact"/>
              <w:jc w:val="center"/>
              <w:rPr>
                <w:rFonts w:hAnsi="宋体" w:cs="宋体"/>
                <w:bCs w:val="0"/>
                <w:sz w:val="24"/>
              </w:rPr>
            </w:pPr>
            <w:r>
              <w:rPr>
                <w:rFonts w:hint="eastAsia" w:hAnsi="宋体" w:cs="宋体"/>
                <w:bCs w:val="0"/>
                <w:sz w:val="24"/>
              </w:rPr>
              <w:t>序号</w:t>
            </w:r>
          </w:p>
        </w:tc>
        <w:tc>
          <w:tcPr>
            <w:tcW w:w="1720" w:type="dxa"/>
            <w:vAlign w:val="center"/>
          </w:tcPr>
          <w:p w14:paraId="65A44DF6">
            <w:pPr>
              <w:tabs>
                <w:tab w:val="left" w:pos="0"/>
                <w:tab w:val="left" w:pos="720"/>
                <w:tab w:val="left" w:pos="1440"/>
                <w:tab w:val="left" w:pos="2160"/>
                <w:tab w:val="left" w:pos="2880"/>
                <w:tab w:val="left" w:pos="3600"/>
                <w:tab w:val="left" w:pos="4320"/>
              </w:tabs>
              <w:autoSpaceDE w:val="0"/>
              <w:autoSpaceDN w:val="0"/>
              <w:adjustRightInd w:val="0"/>
              <w:spacing w:line="600" w:lineRule="exact"/>
              <w:jc w:val="center"/>
              <w:rPr>
                <w:rFonts w:hAnsi="宋体" w:cs="宋体"/>
                <w:bCs w:val="0"/>
                <w:sz w:val="24"/>
              </w:rPr>
            </w:pPr>
            <w:r>
              <w:rPr>
                <w:rFonts w:hint="eastAsia" w:hAnsi="宋体" w:cs="宋体"/>
                <w:bCs w:val="0"/>
                <w:sz w:val="24"/>
              </w:rPr>
              <w:t>产品名称</w:t>
            </w:r>
          </w:p>
        </w:tc>
        <w:tc>
          <w:tcPr>
            <w:tcW w:w="1552" w:type="dxa"/>
            <w:vAlign w:val="center"/>
          </w:tcPr>
          <w:p w14:paraId="6EB138AA">
            <w:pPr>
              <w:tabs>
                <w:tab w:val="left" w:pos="0"/>
                <w:tab w:val="left" w:pos="720"/>
                <w:tab w:val="left" w:pos="1440"/>
                <w:tab w:val="left" w:pos="2160"/>
                <w:tab w:val="left" w:pos="2880"/>
                <w:tab w:val="left" w:pos="3600"/>
                <w:tab w:val="left" w:pos="4320"/>
              </w:tabs>
              <w:autoSpaceDE w:val="0"/>
              <w:autoSpaceDN w:val="0"/>
              <w:adjustRightInd w:val="0"/>
              <w:spacing w:line="600" w:lineRule="exact"/>
              <w:jc w:val="center"/>
              <w:rPr>
                <w:rFonts w:hAnsi="宋体" w:cs="宋体"/>
                <w:bCs w:val="0"/>
                <w:sz w:val="24"/>
              </w:rPr>
            </w:pPr>
            <w:r>
              <w:rPr>
                <w:rFonts w:hint="eastAsia" w:hAnsi="宋体" w:cs="宋体"/>
                <w:bCs w:val="0"/>
                <w:sz w:val="24"/>
              </w:rPr>
              <w:t>竞争性磋商文件要求</w:t>
            </w:r>
          </w:p>
        </w:tc>
        <w:tc>
          <w:tcPr>
            <w:tcW w:w="1210" w:type="dxa"/>
            <w:vAlign w:val="center"/>
          </w:tcPr>
          <w:p w14:paraId="33193F6B">
            <w:pPr>
              <w:tabs>
                <w:tab w:val="left" w:pos="0"/>
                <w:tab w:val="left" w:pos="720"/>
                <w:tab w:val="left" w:pos="1440"/>
                <w:tab w:val="left" w:pos="2160"/>
                <w:tab w:val="left" w:pos="2880"/>
                <w:tab w:val="left" w:pos="3600"/>
                <w:tab w:val="left" w:pos="4320"/>
              </w:tabs>
              <w:autoSpaceDE w:val="0"/>
              <w:autoSpaceDN w:val="0"/>
              <w:adjustRightInd w:val="0"/>
              <w:spacing w:line="600" w:lineRule="exact"/>
              <w:jc w:val="center"/>
              <w:rPr>
                <w:rFonts w:hAnsi="宋体" w:cs="宋体"/>
                <w:bCs w:val="0"/>
                <w:sz w:val="24"/>
              </w:rPr>
            </w:pPr>
            <w:r>
              <w:rPr>
                <w:rFonts w:hint="eastAsia" w:hAnsi="宋体" w:cs="宋体"/>
                <w:bCs w:val="0"/>
                <w:sz w:val="24"/>
              </w:rPr>
              <w:t>响应文件</w:t>
            </w:r>
          </w:p>
          <w:p w14:paraId="23DE81C1">
            <w:pPr>
              <w:tabs>
                <w:tab w:val="left" w:pos="0"/>
                <w:tab w:val="left" w:pos="720"/>
                <w:tab w:val="left" w:pos="1440"/>
                <w:tab w:val="left" w:pos="2160"/>
                <w:tab w:val="left" w:pos="2880"/>
                <w:tab w:val="left" w:pos="3600"/>
                <w:tab w:val="left" w:pos="4320"/>
              </w:tabs>
              <w:autoSpaceDE w:val="0"/>
              <w:autoSpaceDN w:val="0"/>
              <w:adjustRightInd w:val="0"/>
              <w:spacing w:line="600" w:lineRule="exact"/>
              <w:jc w:val="center"/>
              <w:rPr>
                <w:rFonts w:hAnsi="宋体" w:cs="宋体"/>
                <w:bCs w:val="0"/>
                <w:sz w:val="24"/>
              </w:rPr>
            </w:pPr>
            <w:r>
              <w:rPr>
                <w:rFonts w:hint="eastAsia" w:hAnsi="宋体" w:cs="宋体"/>
                <w:bCs w:val="0"/>
                <w:sz w:val="24"/>
              </w:rPr>
              <w:t>实际情况</w:t>
            </w:r>
          </w:p>
        </w:tc>
        <w:tc>
          <w:tcPr>
            <w:tcW w:w="1425" w:type="dxa"/>
            <w:vAlign w:val="center"/>
          </w:tcPr>
          <w:p w14:paraId="00697FED">
            <w:pPr>
              <w:tabs>
                <w:tab w:val="left" w:pos="0"/>
                <w:tab w:val="left" w:pos="720"/>
                <w:tab w:val="left" w:pos="1440"/>
                <w:tab w:val="left" w:pos="2160"/>
                <w:tab w:val="left" w:pos="2880"/>
                <w:tab w:val="left" w:pos="3600"/>
                <w:tab w:val="left" w:pos="4320"/>
              </w:tabs>
              <w:autoSpaceDE w:val="0"/>
              <w:autoSpaceDN w:val="0"/>
              <w:adjustRightInd w:val="0"/>
              <w:spacing w:line="600" w:lineRule="exact"/>
              <w:jc w:val="center"/>
              <w:rPr>
                <w:rFonts w:hAnsi="宋体" w:cs="宋体"/>
                <w:bCs w:val="0"/>
                <w:sz w:val="24"/>
              </w:rPr>
            </w:pPr>
            <w:r>
              <w:rPr>
                <w:rFonts w:hint="eastAsia" w:hAnsi="宋体" w:cs="宋体"/>
                <w:bCs w:val="0"/>
                <w:sz w:val="24"/>
              </w:rPr>
              <w:t>偏差内容</w:t>
            </w:r>
          </w:p>
        </w:tc>
        <w:tc>
          <w:tcPr>
            <w:tcW w:w="965" w:type="dxa"/>
            <w:vAlign w:val="center"/>
          </w:tcPr>
          <w:p w14:paraId="1B9B55BC">
            <w:pPr>
              <w:tabs>
                <w:tab w:val="left" w:pos="0"/>
                <w:tab w:val="left" w:pos="720"/>
                <w:tab w:val="left" w:pos="1440"/>
                <w:tab w:val="left" w:pos="2160"/>
                <w:tab w:val="left" w:pos="2880"/>
                <w:tab w:val="left" w:pos="3600"/>
                <w:tab w:val="left" w:pos="4320"/>
              </w:tabs>
              <w:autoSpaceDE w:val="0"/>
              <w:autoSpaceDN w:val="0"/>
              <w:adjustRightInd w:val="0"/>
              <w:spacing w:line="600" w:lineRule="exact"/>
              <w:jc w:val="center"/>
              <w:rPr>
                <w:rFonts w:hAnsi="宋体" w:cs="宋体"/>
                <w:bCs w:val="0"/>
                <w:sz w:val="24"/>
              </w:rPr>
            </w:pPr>
            <w:r>
              <w:rPr>
                <w:rFonts w:hint="eastAsia" w:hAnsi="宋体" w:cs="宋体"/>
                <w:bCs w:val="0"/>
                <w:sz w:val="24"/>
              </w:rPr>
              <w:t>说明</w:t>
            </w:r>
          </w:p>
        </w:tc>
      </w:tr>
      <w:tr w14:paraId="5C76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266" w:type="dxa"/>
            <w:vAlign w:val="center"/>
          </w:tcPr>
          <w:p w14:paraId="199493D8">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720" w:type="dxa"/>
            <w:vAlign w:val="center"/>
          </w:tcPr>
          <w:p w14:paraId="7D4B1E17">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552" w:type="dxa"/>
            <w:vAlign w:val="center"/>
          </w:tcPr>
          <w:p w14:paraId="6BDD2565">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210" w:type="dxa"/>
            <w:vAlign w:val="center"/>
          </w:tcPr>
          <w:p w14:paraId="41B65160">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425" w:type="dxa"/>
            <w:vAlign w:val="center"/>
          </w:tcPr>
          <w:p w14:paraId="6C5238AA">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965" w:type="dxa"/>
            <w:vAlign w:val="center"/>
          </w:tcPr>
          <w:p w14:paraId="233C6B36">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r>
      <w:tr w14:paraId="3F6D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266" w:type="dxa"/>
            <w:vAlign w:val="center"/>
          </w:tcPr>
          <w:p w14:paraId="20775696">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720" w:type="dxa"/>
            <w:vAlign w:val="center"/>
          </w:tcPr>
          <w:p w14:paraId="06CBB5A0">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552" w:type="dxa"/>
            <w:vAlign w:val="center"/>
          </w:tcPr>
          <w:p w14:paraId="556C8FE1">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210" w:type="dxa"/>
            <w:vAlign w:val="center"/>
          </w:tcPr>
          <w:p w14:paraId="3A973AF7">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425" w:type="dxa"/>
            <w:vAlign w:val="center"/>
          </w:tcPr>
          <w:p w14:paraId="65A35BD9">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965" w:type="dxa"/>
            <w:vAlign w:val="center"/>
          </w:tcPr>
          <w:p w14:paraId="112904F1">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r>
      <w:tr w14:paraId="5FD0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66" w:type="dxa"/>
            <w:vAlign w:val="center"/>
          </w:tcPr>
          <w:p w14:paraId="5F9176BC">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720" w:type="dxa"/>
            <w:vAlign w:val="center"/>
          </w:tcPr>
          <w:p w14:paraId="0164EBA8">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552" w:type="dxa"/>
            <w:vAlign w:val="center"/>
          </w:tcPr>
          <w:p w14:paraId="14F27CFB">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210" w:type="dxa"/>
            <w:vAlign w:val="center"/>
          </w:tcPr>
          <w:p w14:paraId="212823A1">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425" w:type="dxa"/>
            <w:vAlign w:val="center"/>
          </w:tcPr>
          <w:p w14:paraId="33029BDA">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965" w:type="dxa"/>
            <w:vAlign w:val="center"/>
          </w:tcPr>
          <w:p w14:paraId="7D3367A3">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r>
      <w:tr w14:paraId="7959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66" w:type="dxa"/>
            <w:vAlign w:val="center"/>
          </w:tcPr>
          <w:p w14:paraId="7E25F968">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720" w:type="dxa"/>
            <w:vAlign w:val="center"/>
          </w:tcPr>
          <w:p w14:paraId="00600021">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552" w:type="dxa"/>
            <w:vAlign w:val="center"/>
          </w:tcPr>
          <w:p w14:paraId="314AA04A">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210" w:type="dxa"/>
            <w:vAlign w:val="center"/>
          </w:tcPr>
          <w:p w14:paraId="424CD943">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425" w:type="dxa"/>
            <w:vAlign w:val="center"/>
          </w:tcPr>
          <w:p w14:paraId="320A28DB">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965" w:type="dxa"/>
            <w:vAlign w:val="center"/>
          </w:tcPr>
          <w:p w14:paraId="207E7272">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r>
      <w:tr w14:paraId="74BE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66" w:type="dxa"/>
            <w:vAlign w:val="center"/>
          </w:tcPr>
          <w:p w14:paraId="4F18819A">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720" w:type="dxa"/>
            <w:vAlign w:val="center"/>
          </w:tcPr>
          <w:p w14:paraId="620F994D">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552" w:type="dxa"/>
            <w:vAlign w:val="center"/>
          </w:tcPr>
          <w:p w14:paraId="2134B5A1">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210" w:type="dxa"/>
            <w:vAlign w:val="center"/>
          </w:tcPr>
          <w:p w14:paraId="2DD13213">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425" w:type="dxa"/>
            <w:vAlign w:val="center"/>
          </w:tcPr>
          <w:p w14:paraId="6D88E692">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965" w:type="dxa"/>
            <w:vAlign w:val="center"/>
          </w:tcPr>
          <w:p w14:paraId="08D35385">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r>
      <w:tr w14:paraId="4298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66" w:type="dxa"/>
            <w:vAlign w:val="center"/>
          </w:tcPr>
          <w:p w14:paraId="39424FD0">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720" w:type="dxa"/>
            <w:vAlign w:val="center"/>
          </w:tcPr>
          <w:p w14:paraId="3988F083">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552" w:type="dxa"/>
            <w:vAlign w:val="center"/>
          </w:tcPr>
          <w:p w14:paraId="0A02D1A5">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210" w:type="dxa"/>
            <w:vAlign w:val="center"/>
          </w:tcPr>
          <w:p w14:paraId="4522ED5B">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425" w:type="dxa"/>
            <w:vAlign w:val="center"/>
          </w:tcPr>
          <w:p w14:paraId="3C31653B">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965" w:type="dxa"/>
            <w:vAlign w:val="center"/>
          </w:tcPr>
          <w:p w14:paraId="46929223">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r>
      <w:tr w14:paraId="7581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66" w:type="dxa"/>
            <w:vAlign w:val="center"/>
          </w:tcPr>
          <w:p w14:paraId="59827381">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720" w:type="dxa"/>
            <w:vAlign w:val="center"/>
          </w:tcPr>
          <w:p w14:paraId="6501C546">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552" w:type="dxa"/>
            <w:vAlign w:val="center"/>
          </w:tcPr>
          <w:p w14:paraId="64988202">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210" w:type="dxa"/>
            <w:vAlign w:val="center"/>
          </w:tcPr>
          <w:p w14:paraId="2EE7E160">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425" w:type="dxa"/>
            <w:vAlign w:val="center"/>
          </w:tcPr>
          <w:p w14:paraId="472F2653">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965" w:type="dxa"/>
            <w:vAlign w:val="center"/>
          </w:tcPr>
          <w:p w14:paraId="0CD467A4">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r>
      <w:tr w14:paraId="0EFC7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66" w:type="dxa"/>
            <w:vAlign w:val="center"/>
          </w:tcPr>
          <w:p w14:paraId="7C913D1A">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720" w:type="dxa"/>
            <w:vAlign w:val="center"/>
          </w:tcPr>
          <w:p w14:paraId="76706CA0">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552" w:type="dxa"/>
            <w:vAlign w:val="center"/>
          </w:tcPr>
          <w:p w14:paraId="6D34A685">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210" w:type="dxa"/>
            <w:vAlign w:val="center"/>
          </w:tcPr>
          <w:p w14:paraId="607EF4B2">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425" w:type="dxa"/>
            <w:vAlign w:val="center"/>
          </w:tcPr>
          <w:p w14:paraId="7B5DABAB">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965" w:type="dxa"/>
            <w:vAlign w:val="center"/>
          </w:tcPr>
          <w:p w14:paraId="7369A01A">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r>
      <w:tr w14:paraId="1FD9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66" w:type="dxa"/>
            <w:vAlign w:val="center"/>
          </w:tcPr>
          <w:p w14:paraId="202E5F2D">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720" w:type="dxa"/>
            <w:vAlign w:val="center"/>
          </w:tcPr>
          <w:p w14:paraId="1A9CA4DE">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552" w:type="dxa"/>
            <w:vAlign w:val="center"/>
          </w:tcPr>
          <w:p w14:paraId="769AEE7C">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210" w:type="dxa"/>
            <w:vAlign w:val="center"/>
          </w:tcPr>
          <w:p w14:paraId="0D404566">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1425" w:type="dxa"/>
            <w:vAlign w:val="center"/>
          </w:tcPr>
          <w:p w14:paraId="7FD1014C">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c>
          <w:tcPr>
            <w:tcW w:w="965" w:type="dxa"/>
            <w:vAlign w:val="center"/>
          </w:tcPr>
          <w:p w14:paraId="04DCF025">
            <w:pPr>
              <w:tabs>
                <w:tab w:val="left" w:pos="0"/>
                <w:tab w:val="left" w:pos="720"/>
                <w:tab w:val="left" w:pos="1440"/>
                <w:tab w:val="left" w:pos="2160"/>
                <w:tab w:val="left" w:pos="2880"/>
                <w:tab w:val="left" w:pos="3600"/>
                <w:tab w:val="left" w:pos="4320"/>
              </w:tabs>
              <w:autoSpaceDE w:val="0"/>
              <w:autoSpaceDN w:val="0"/>
              <w:adjustRightInd w:val="0"/>
              <w:spacing w:line="600" w:lineRule="exact"/>
              <w:rPr>
                <w:rFonts w:hAnsi="宋体" w:cs="宋体"/>
                <w:bCs w:val="0"/>
                <w:sz w:val="24"/>
              </w:rPr>
            </w:pPr>
          </w:p>
        </w:tc>
      </w:tr>
    </w:tbl>
    <w:p w14:paraId="7F38E05C">
      <w:pPr>
        <w:tabs>
          <w:tab w:val="left" w:pos="0"/>
          <w:tab w:val="left" w:pos="720"/>
          <w:tab w:val="left" w:pos="1440"/>
          <w:tab w:val="left" w:pos="2160"/>
          <w:tab w:val="left" w:pos="2880"/>
          <w:tab w:val="left" w:pos="3600"/>
          <w:tab w:val="left" w:pos="4320"/>
        </w:tabs>
        <w:autoSpaceDE w:val="0"/>
        <w:autoSpaceDN w:val="0"/>
        <w:adjustRightInd w:val="0"/>
        <w:spacing w:line="600" w:lineRule="exact"/>
        <w:jc w:val="right"/>
        <w:rPr>
          <w:rFonts w:hAnsi="宋体" w:cs="宋体"/>
          <w:bCs w:val="0"/>
          <w:sz w:val="24"/>
        </w:rPr>
      </w:pPr>
      <w:r>
        <w:rPr>
          <w:rFonts w:hint="eastAsia" w:hAnsi="宋体" w:cs="宋体"/>
          <w:bCs w:val="0"/>
          <w:sz w:val="24"/>
        </w:rPr>
        <w:t>年  月  日</w:t>
      </w:r>
    </w:p>
    <w:p w14:paraId="2BB76AE1"/>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F3BF0">
    <w:pPr>
      <w:pStyle w:val="11"/>
      <w:jc w:val="center"/>
    </w:pPr>
    <w:r>
      <w:fldChar w:fldCharType="begin"/>
    </w:r>
    <w:r>
      <w:instrText xml:space="preserve"> PAGE   \* MERGEFORMAT </w:instrText>
    </w:r>
    <w:r>
      <w:fldChar w:fldCharType="separate"/>
    </w:r>
    <w:r>
      <w:rPr>
        <w:lang w:val="zh-CN"/>
      </w:rPr>
      <w:t>3</w:t>
    </w:r>
    <w:r>
      <w:fldChar w:fldCharType="end"/>
    </w:r>
  </w:p>
  <w:p w14:paraId="1E54944D">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4D109">
    <w:pPr>
      <w:pStyle w:val="12"/>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BEA5C0"/>
    <w:multiLevelType w:val="singleLevel"/>
    <w:tmpl w:val="F0BEA5C0"/>
    <w:lvl w:ilvl="0" w:tentative="0">
      <w:start w:val="1"/>
      <w:numFmt w:val="chineseCounting"/>
      <w:suff w:val="nothing"/>
      <w:lvlText w:val="（%1）"/>
      <w:lvlJc w:val="left"/>
      <w:rPr>
        <w:rFonts w:hint="eastAsia"/>
      </w:rPr>
    </w:lvl>
  </w:abstractNum>
  <w:abstractNum w:abstractNumId="1">
    <w:nsid w:val="F28E176C"/>
    <w:multiLevelType w:val="singleLevel"/>
    <w:tmpl w:val="F28E176C"/>
    <w:lvl w:ilvl="0" w:tentative="0">
      <w:start w:val="1"/>
      <w:numFmt w:val="chineseCounting"/>
      <w:suff w:val="nothing"/>
      <w:lvlText w:val="%1、"/>
      <w:lvlJc w:val="left"/>
      <w:rPr>
        <w:rFonts w:hint="eastAsia"/>
      </w:rPr>
    </w:lvl>
  </w:abstractNum>
  <w:abstractNum w:abstractNumId="2">
    <w:nsid w:val="418C44A8"/>
    <w:multiLevelType w:val="singleLevel"/>
    <w:tmpl w:val="418C44A8"/>
    <w:lvl w:ilvl="0" w:tentative="0">
      <w:start w:val="4"/>
      <w:numFmt w:val="chineseCounting"/>
      <w:suff w:val="nothing"/>
      <w:lvlText w:val="%1、"/>
      <w:lvlJc w:val="left"/>
      <w:rPr>
        <w:rFonts w:hint="eastAsia"/>
      </w:rPr>
    </w:lvl>
  </w:abstractNum>
  <w:abstractNum w:abstractNumId="3">
    <w:nsid w:val="6FD90C4C"/>
    <w:multiLevelType w:val="singleLevel"/>
    <w:tmpl w:val="6FD90C4C"/>
    <w:lvl w:ilvl="0" w:tentative="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D92786"/>
    <w:rsid w:val="05F34038"/>
    <w:rsid w:val="0CB81E18"/>
    <w:rsid w:val="149704F9"/>
    <w:rsid w:val="180C0914"/>
    <w:rsid w:val="18F54EDC"/>
    <w:rsid w:val="2381021D"/>
    <w:rsid w:val="24E40878"/>
    <w:rsid w:val="254D6856"/>
    <w:rsid w:val="2CD662E6"/>
    <w:rsid w:val="2DCC5C37"/>
    <w:rsid w:val="3DA1753B"/>
    <w:rsid w:val="476F4013"/>
    <w:rsid w:val="53335B3A"/>
    <w:rsid w:val="54F77486"/>
    <w:rsid w:val="5A4D2306"/>
    <w:rsid w:val="5ABC2679"/>
    <w:rsid w:val="5D943B0F"/>
    <w:rsid w:val="614A40D6"/>
    <w:rsid w:val="667B6D71"/>
    <w:rsid w:val="76310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bCs/>
      <w:kern w:val="2"/>
      <w:sz w:val="28"/>
      <w:szCs w:val="24"/>
      <w:lang w:val="en-US" w:eastAsia="zh-CN" w:bidi="ar-SA"/>
    </w:rPr>
  </w:style>
  <w:style w:type="paragraph" w:styleId="4">
    <w:name w:val="heading 1"/>
    <w:basedOn w:val="1"/>
    <w:next w:val="1"/>
    <w:qFormat/>
    <w:uiPriority w:val="0"/>
    <w:pPr>
      <w:keepNext/>
      <w:keepLines/>
      <w:spacing w:line="360" w:lineRule="auto"/>
      <w:jc w:val="center"/>
      <w:outlineLvl w:val="0"/>
    </w:pPr>
    <w:rPr>
      <w:b/>
      <w:kern w:val="44"/>
      <w:sz w:val="36"/>
      <w:szCs w:val="44"/>
    </w:rPr>
  </w:style>
  <w:style w:type="paragraph" w:styleId="5">
    <w:name w:val="heading 2"/>
    <w:basedOn w:val="1"/>
    <w:next w:val="1"/>
    <w:qFormat/>
    <w:uiPriority w:val="0"/>
    <w:pPr>
      <w:widowControl/>
      <w:tabs>
        <w:tab w:val="right" w:leader="dot" w:pos="8857"/>
      </w:tabs>
      <w:spacing w:beforeAutospacing="1" w:afterAutospacing="1"/>
      <w:jc w:val="left"/>
      <w:outlineLvl w:val="1"/>
    </w:pPr>
    <w:rPr>
      <w:rFonts w:hAnsi="宋体"/>
      <w:b/>
      <w:kern w:val="0"/>
      <w:szCs w:val="36"/>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qFormat/>
    <w:uiPriority w:val="0"/>
    <w:pPr>
      <w:spacing w:line="480" w:lineRule="exact"/>
      <w:ind w:firstLine="538" w:firstLineChars="192"/>
      <w:jc w:val="left"/>
    </w:pPr>
    <w:rPr>
      <w:bCs w:val="0"/>
    </w:rPr>
  </w:style>
  <w:style w:type="paragraph" w:styleId="6">
    <w:name w:val="caption"/>
    <w:basedOn w:val="1"/>
    <w:next w:val="1"/>
    <w:qFormat/>
    <w:uiPriority w:val="99"/>
    <w:pPr>
      <w:spacing w:before="152" w:after="160"/>
    </w:pPr>
    <w:rPr>
      <w:rFonts w:ascii="Arial" w:hAnsi="Arial" w:eastAsia="黑体" w:cs="Arial"/>
      <w:bCs w:val="0"/>
      <w:sz w:val="20"/>
      <w:szCs w:val="20"/>
    </w:rPr>
  </w:style>
  <w:style w:type="paragraph" w:styleId="7">
    <w:name w:val="Body Text"/>
    <w:basedOn w:val="1"/>
    <w:qFormat/>
    <w:uiPriority w:val="0"/>
    <w:rPr>
      <w:rFonts w:hAnsi="宋体"/>
      <w:sz w:val="32"/>
      <w:szCs w:val="20"/>
    </w:rPr>
  </w:style>
  <w:style w:type="paragraph" w:styleId="8">
    <w:name w:val="Plain Text"/>
    <w:basedOn w:val="1"/>
    <w:qFormat/>
    <w:uiPriority w:val="0"/>
    <w:rPr>
      <w:rFonts w:hAnsi="Courier New"/>
      <w:bCs w:val="0"/>
      <w:sz w:val="21"/>
      <w:szCs w:val="20"/>
    </w:rPr>
  </w:style>
  <w:style w:type="paragraph" w:styleId="9">
    <w:name w:val="Body Text Indent 2"/>
    <w:basedOn w:val="1"/>
    <w:next w:val="10"/>
    <w:qFormat/>
    <w:uiPriority w:val="0"/>
    <w:pPr>
      <w:spacing w:line="480" w:lineRule="exact"/>
      <w:ind w:firstLine="241" w:firstLineChars="100"/>
      <w:jc w:val="left"/>
    </w:pPr>
    <w:rPr>
      <w:rFonts w:ascii="黑体" w:hAnsi="宋体" w:eastAsia="黑体"/>
      <w:b/>
      <w:sz w:val="24"/>
    </w:rPr>
  </w:style>
  <w:style w:type="paragraph" w:customStyle="1" w:styleId="10">
    <w:name w:val="z正文"/>
    <w:basedOn w:val="8"/>
    <w:qFormat/>
    <w:uiPriority w:val="0"/>
    <w:pPr>
      <w:snapToGrid w:val="0"/>
      <w:ind w:firstLine="480"/>
    </w:pPr>
  </w:style>
  <w:style w:type="paragraph" w:styleId="11">
    <w:name w:val="footer"/>
    <w:basedOn w:val="1"/>
    <w:unhideWhenUsed/>
    <w:qFormat/>
    <w:uiPriority w:val="99"/>
    <w:pPr>
      <w:tabs>
        <w:tab w:val="center" w:pos="4153"/>
        <w:tab w:val="right" w:pos="8306"/>
      </w:tabs>
      <w:snapToGrid w:val="0"/>
      <w:jc w:val="left"/>
    </w:pPr>
    <w:rPr>
      <w:rFonts w:ascii="Times New Roman"/>
      <w:bCs w:val="0"/>
      <w:sz w:val="18"/>
      <w:szCs w:val="18"/>
    </w:rPr>
  </w:style>
  <w:style w:type="paragraph" w:styleId="12">
    <w:name w:val="header"/>
    <w:basedOn w:val="1"/>
    <w:unhideWhenUsed/>
    <w:qFormat/>
    <w:uiPriority w:val="99"/>
    <w:pPr>
      <w:pBdr>
        <w:bottom w:val="single" w:color="auto" w:sz="6" w:space="1"/>
      </w:pBdr>
      <w:tabs>
        <w:tab w:val="center" w:pos="4153"/>
        <w:tab w:val="right" w:pos="8306"/>
      </w:tabs>
      <w:snapToGrid w:val="0"/>
      <w:jc w:val="center"/>
    </w:pPr>
    <w:rPr>
      <w:rFonts w:ascii="Times New Roman"/>
      <w:bCs w:val="0"/>
      <w:sz w:val="18"/>
      <w:szCs w:val="18"/>
    </w:rPr>
  </w:style>
  <w:style w:type="paragraph" w:styleId="13">
    <w:name w:val="toc 1"/>
    <w:basedOn w:val="1"/>
    <w:next w:val="1"/>
    <w:unhideWhenUsed/>
    <w:qFormat/>
    <w:uiPriority w:val="39"/>
  </w:style>
  <w:style w:type="paragraph" w:styleId="14">
    <w:name w:val="toc 2"/>
    <w:basedOn w:val="1"/>
    <w:next w:val="1"/>
    <w:unhideWhenUsed/>
    <w:qFormat/>
    <w:uiPriority w:val="39"/>
    <w:pPr>
      <w:tabs>
        <w:tab w:val="right" w:leader="dot" w:pos="8857"/>
      </w:tabs>
      <w:spacing w:line="360" w:lineRule="auto"/>
      <w:ind w:left="560" w:leftChars="200"/>
    </w:pPr>
  </w:style>
  <w:style w:type="paragraph" w:styleId="15">
    <w:name w:val="Body Text First Indent"/>
    <w:basedOn w:val="1"/>
    <w:next w:val="9"/>
    <w:unhideWhenUsed/>
    <w:qFormat/>
    <w:uiPriority w:val="99"/>
    <w:pPr>
      <w:spacing w:after="120"/>
      <w:ind w:firstLine="420" w:firstLineChars="100"/>
    </w:pPr>
  </w:style>
  <w:style w:type="paragraph" w:customStyle="1" w:styleId="18">
    <w:name w:val="2级标题"/>
    <w:basedOn w:val="1"/>
    <w:qFormat/>
    <w:uiPriority w:val="0"/>
    <w:pPr>
      <w:spacing w:line="480" w:lineRule="exact"/>
      <w:ind w:firstLine="482" w:firstLineChars="200"/>
    </w:pPr>
    <w:rPr>
      <w:rFonts w:hAnsi="宋体"/>
      <w:b/>
      <w:color w:val="000000"/>
      <w:sz w:val="24"/>
    </w:rPr>
  </w:style>
  <w:style w:type="paragraph" w:customStyle="1" w:styleId="1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
    <w:name w:val="样式 仿宋 行距: 1.5 倍行距"/>
    <w:basedOn w:val="1"/>
    <w:qFormat/>
    <w:uiPriority w:val="0"/>
    <w:pPr>
      <w:spacing w:line="360" w:lineRule="auto"/>
    </w:pPr>
    <w:rPr>
      <w:rFonts w:ascii="仿宋" w:hAnsi="仿宋" w:eastAsia="仿宋" w:cs="宋体"/>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3477</Words>
  <Characters>3632</Characters>
  <Lines>0</Lines>
  <Paragraphs>0</Paragraphs>
  <TotalTime>11</TotalTime>
  <ScaleCrop>false</ScaleCrop>
  <LinksUpToDate>false</LinksUpToDate>
  <CharactersWithSpaces>4070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2026-02-03T02:37:00Z</dcterms:created>
  <dc:creator>Administrator</dc:creator>
  <cp:lastModifiedBy>ztb</cp:lastModifiedBy>
  <dcterms:modified xsi:type="dcterms:W3CDTF">2026-08-25T07:30:15Z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eyJoZGlkIjoiOWUyODdjMzQxMjk5MjdjYjFiYmIyNjYyZjIyYTY0M2EiLCJ1c2VySWQiOiIxMjQyNjg5MDUwIn0=</vt:lpwstr>
  </property>
  <property fmtid="{D5CDD505-2E9C-101B-9397-08002B2CF9AE}" pid="4" name="ICV">
    <vt:lpwstr>A7838E362DF249FC8FF90BC3B67CECDC_13</vt:lpwstr>
  </property>
</Properties>
</file>