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72992"/>
    <w:p w14:paraId="13758EBC">
      <w:pPr>
        <w:adjustRightInd w:val="0"/>
        <w:snapToGrid w:val="0"/>
        <w:jc w:val="center"/>
        <w:rPr>
          <w:rFonts w:ascii="方正小标宋简体" w:hAnsi="方正小标宋简体" w:eastAsia="方正小标宋简体" w:cs="方正小标宋简体"/>
          <w:sz w:val="44"/>
          <w:szCs w:val="44"/>
        </w:rPr>
      </w:pPr>
      <w:bookmarkStart w:id="0" w:name="downLoadzbwj"/>
      <w:bookmarkEnd w:id="0"/>
      <w:r>
        <w:rPr>
          <w:rFonts w:hint="eastAsia" w:ascii="方正小标宋简体" w:hAnsi="方正小标宋简体" w:eastAsia="方正小标宋简体" w:cs="方正小标宋简体"/>
          <w:sz w:val="44"/>
          <w:szCs w:val="44"/>
        </w:rPr>
        <w:t xml:space="preserve"> 大庆市人民医院</w:t>
      </w:r>
    </w:p>
    <w:p w14:paraId="186992FE">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GE64排CT维保采购公告</w:t>
      </w:r>
    </w:p>
    <w:p w14:paraId="32C038EF">
      <w:pPr>
        <w:rPr>
          <w:rFonts w:ascii="黑体" w:hAnsi="黑体" w:eastAsia="黑体" w:cs="黑体"/>
          <w:sz w:val="32"/>
          <w:szCs w:val="32"/>
        </w:rPr>
      </w:pPr>
    </w:p>
    <w:p w14:paraId="41AEC98B">
      <w:pPr>
        <w:rPr>
          <w:rFonts w:ascii="黑体" w:hAnsi="黑体" w:eastAsia="黑体" w:cs="黑体"/>
          <w:sz w:val="32"/>
          <w:szCs w:val="32"/>
        </w:rPr>
      </w:pPr>
      <w:r>
        <w:rPr>
          <w:rFonts w:hint="eastAsia" w:ascii="黑体" w:hAnsi="黑体" w:eastAsia="黑体" w:cs="黑体"/>
          <w:sz w:val="32"/>
          <w:szCs w:val="32"/>
        </w:rPr>
        <w:t>一、项目基本情况</w:t>
      </w:r>
    </w:p>
    <w:p w14:paraId="25C2D5A9">
      <w:pPr>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项目编号：</w:t>
      </w:r>
    </w:p>
    <w:p w14:paraId="3C678A11">
      <w:pPr>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项目名称：</w:t>
      </w:r>
      <w:bookmarkStart w:id="1" w:name="OLE_LINK5"/>
      <w:bookmarkStart w:id="2" w:name="OLE_LINK6"/>
      <w:r>
        <w:rPr>
          <w:rFonts w:hint="eastAsia" w:ascii="仿宋_GB2312" w:hAnsi="仿宋_GB2312" w:eastAsia="仿宋_GB2312" w:cs="仿宋_GB2312"/>
          <w:color w:val="auto"/>
          <w:sz w:val="32"/>
          <w:szCs w:val="32"/>
        </w:rPr>
        <w:t>GE64排CT维保采购</w:t>
      </w:r>
      <w:bookmarkEnd w:id="1"/>
      <w:bookmarkEnd w:id="2"/>
    </w:p>
    <w:p w14:paraId="3F6AF7C9">
      <w:pPr>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采购方式：</w:t>
      </w:r>
      <w:r>
        <w:rPr>
          <w:rFonts w:hint="eastAsia" w:ascii="仿宋_GB2312" w:hAnsi="仿宋_GB2312" w:eastAsia="仿宋_GB2312" w:cs="仿宋_GB2312"/>
          <w:color w:val="auto"/>
          <w:sz w:val="32"/>
          <w:szCs w:val="32"/>
        </w:rPr>
        <w:t>单一来源</w:t>
      </w:r>
    </w:p>
    <w:p w14:paraId="377B239A">
      <w:pPr>
        <w:ind w:firstLine="643" w:firstLineChars="200"/>
        <w:rPr>
          <w:rFonts w:ascii="黑体" w:hAnsi="黑体" w:eastAsia="黑体" w:cs="黑体"/>
          <w:sz w:val="32"/>
          <w:szCs w:val="32"/>
        </w:rPr>
      </w:pPr>
      <w:r>
        <w:rPr>
          <w:rFonts w:hint="eastAsia" w:ascii="仿宋_GB2312" w:hAnsi="仿宋_GB2312" w:eastAsia="仿宋_GB2312" w:cs="仿宋_GB2312"/>
          <w:b/>
          <w:bCs/>
          <w:sz w:val="32"/>
          <w:szCs w:val="32"/>
        </w:rPr>
        <w:t>采购需求</w:t>
      </w:r>
      <w:r>
        <w:rPr>
          <w:rFonts w:hint="eastAsia" w:ascii="黑体" w:hAnsi="黑体" w:eastAsia="黑体" w:cs="黑体"/>
          <w:sz w:val="32"/>
          <w:szCs w:val="32"/>
        </w:rPr>
        <w:t>：</w:t>
      </w:r>
    </w:p>
    <w:tbl>
      <w:tblPr>
        <w:tblStyle w:val="10"/>
        <w:tblpPr w:leftFromText="180" w:rightFromText="180" w:vertAnchor="text" w:horzAnchor="page" w:tblpX="1107" w:tblpY="375"/>
        <w:tblOverlap w:val="never"/>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740"/>
        <w:gridCol w:w="1215"/>
        <w:gridCol w:w="1080"/>
        <w:gridCol w:w="1335"/>
        <w:gridCol w:w="1200"/>
        <w:gridCol w:w="1290"/>
        <w:gridCol w:w="1466"/>
      </w:tblGrid>
      <w:tr w14:paraId="1F3C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8D47992">
            <w:pPr>
              <w:spacing w:line="600" w:lineRule="exact"/>
              <w:jc w:val="center"/>
              <w:rPr>
                <w:rFonts w:ascii="黑体" w:hAnsi="黑体" w:eastAsia="黑体" w:cs="黑体"/>
                <w:sz w:val="24"/>
              </w:rPr>
            </w:pPr>
            <w:r>
              <w:rPr>
                <w:rFonts w:hint="eastAsia" w:ascii="黑体" w:hAnsi="黑体" w:eastAsia="黑体" w:cs="黑体"/>
                <w:sz w:val="24"/>
              </w:rPr>
              <w:t>序号</w:t>
            </w:r>
          </w:p>
        </w:tc>
        <w:tc>
          <w:tcPr>
            <w:tcW w:w="1740" w:type="dxa"/>
            <w:vAlign w:val="center"/>
          </w:tcPr>
          <w:p w14:paraId="336EABB0">
            <w:pPr>
              <w:spacing w:line="600" w:lineRule="exact"/>
              <w:jc w:val="center"/>
              <w:rPr>
                <w:rFonts w:ascii="黑体" w:hAnsi="黑体" w:eastAsia="黑体" w:cs="黑体"/>
                <w:sz w:val="24"/>
              </w:rPr>
            </w:pPr>
            <w:r>
              <w:rPr>
                <w:rFonts w:hint="eastAsia" w:ascii="黑体" w:hAnsi="黑体" w:eastAsia="黑体" w:cs="黑体"/>
                <w:sz w:val="24"/>
              </w:rPr>
              <w:t>采购项目名称</w:t>
            </w:r>
          </w:p>
        </w:tc>
        <w:tc>
          <w:tcPr>
            <w:tcW w:w="1215" w:type="dxa"/>
            <w:vAlign w:val="center"/>
          </w:tcPr>
          <w:p w14:paraId="37972234">
            <w:pPr>
              <w:spacing w:line="600" w:lineRule="exact"/>
              <w:jc w:val="center"/>
              <w:rPr>
                <w:rFonts w:ascii="黑体" w:hAnsi="黑体" w:eastAsia="黑体" w:cs="黑体"/>
                <w:sz w:val="24"/>
              </w:rPr>
            </w:pPr>
            <w:r>
              <w:rPr>
                <w:rFonts w:hint="eastAsia" w:ascii="黑体" w:hAnsi="黑体" w:eastAsia="黑体" w:cs="黑体"/>
                <w:sz w:val="24"/>
              </w:rPr>
              <w:t>使用科室</w:t>
            </w:r>
          </w:p>
        </w:tc>
        <w:tc>
          <w:tcPr>
            <w:tcW w:w="1080" w:type="dxa"/>
            <w:vAlign w:val="center"/>
          </w:tcPr>
          <w:p w14:paraId="648E7989">
            <w:pPr>
              <w:spacing w:line="600" w:lineRule="exact"/>
              <w:jc w:val="center"/>
              <w:rPr>
                <w:rFonts w:ascii="黑体" w:hAnsi="黑体" w:eastAsia="黑体" w:cs="黑体"/>
                <w:sz w:val="24"/>
              </w:rPr>
            </w:pPr>
            <w:r>
              <w:rPr>
                <w:rFonts w:hint="eastAsia" w:ascii="黑体" w:hAnsi="黑体" w:eastAsia="黑体" w:cs="黑体"/>
                <w:sz w:val="24"/>
              </w:rPr>
              <w:t>数量</w:t>
            </w:r>
          </w:p>
        </w:tc>
        <w:tc>
          <w:tcPr>
            <w:tcW w:w="1335" w:type="dxa"/>
            <w:vAlign w:val="center"/>
          </w:tcPr>
          <w:p w14:paraId="086F61BD">
            <w:pPr>
              <w:spacing w:line="600" w:lineRule="exact"/>
              <w:jc w:val="center"/>
              <w:rPr>
                <w:rFonts w:ascii="黑体" w:hAnsi="黑体" w:eastAsia="黑体" w:cs="黑体"/>
                <w:sz w:val="24"/>
              </w:rPr>
            </w:pPr>
            <w:r>
              <w:rPr>
                <w:rFonts w:hint="eastAsia" w:ascii="黑体" w:hAnsi="黑体" w:eastAsia="黑体" w:cs="黑体"/>
                <w:sz w:val="24"/>
              </w:rPr>
              <w:t>预算单价</w:t>
            </w:r>
          </w:p>
          <w:p w14:paraId="231C0AD6">
            <w:pPr>
              <w:spacing w:line="600" w:lineRule="exact"/>
              <w:jc w:val="center"/>
              <w:rPr>
                <w:rFonts w:ascii="黑体" w:hAnsi="黑体" w:eastAsia="黑体" w:cs="黑体"/>
                <w:sz w:val="24"/>
              </w:rPr>
            </w:pPr>
            <w:r>
              <w:rPr>
                <w:rFonts w:hint="eastAsia" w:ascii="黑体" w:hAnsi="黑体" w:eastAsia="黑体" w:cs="黑体"/>
                <w:sz w:val="24"/>
              </w:rPr>
              <w:t>（万元）</w:t>
            </w:r>
          </w:p>
        </w:tc>
        <w:tc>
          <w:tcPr>
            <w:tcW w:w="1200" w:type="dxa"/>
            <w:vAlign w:val="center"/>
          </w:tcPr>
          <w:p w14:paraId="7BDBB84E">
            <w:pPr>
              <w:spacing w:line="600" w:lineRule="exact"/>
              <w:jc w:val="center"/>
              <w:rPr>
                <w:rFonts w:ascii="黑体" w:hAnsi="黑体" w:eastAsia="黑体" w:cs="黑体"/>
                <w:sz w:val="24"/>
              </w:rPr>
            </w:pPr>
            <w:r>
              <w:rPr>
                <w:rFonts w:hint="eastAsia" w:ascii="黑体" w:hAnsi="黑体" w:eastAsia="黑体" w:cs="黑体"/>
                <w:sz w:val="24"/>
              </w:rPr>
              <w:t>预算总价</w:t>
            </w:r>
          </w:p>
          <w:p w14:paraId="36A29AC3">
            <w:pPr>
              <w:spacing w:line="600" w:lineRule="exact"/>
              <w:jc w:val="center"/>
              <w:rPr>
                <w:rFonts w:ascii="黑体" w:hAnsi="黑体" w:eastAsia="黑体" w:cs="黑体"/>
                <w:sz w:val="24"/>
              </w:rPr>
            </w:pPr>
            <w:r>
              <w:rPr>
                <w:rFonts w:hint="eastAsia" w:ascii="黑体" w:hAnsi="黑体" w:eastAsia="黑体" w:cs="黑体"/>
                <w:sz w:val="24"/>
              </w:rPr>
              <w:t>（万元）</w:t>
            </w:r>
          </w:p>
        </w:tc>
        <w:tc>
          <w:tcPr>
            <w:tcW w:w="1290" w:type="dxa"/>
            <w:vAlign w:val="center"/>
          </w:tcPr>
          <w:p w14:paraId="59FE76A5">
            <w:pPr>
              <w:spacing w:line="600" w:lineRule="exact"/>
              <w:jc w:val="center"/>
              <w:rPr>
                <w:rFonts w:ascii="黑体" w:hAnsi="黑体" w:eastAsia="黑体" w:cs="黑体"/>
                <w:sz w:val="24"/>
              </w:rPr>
            </w:pPr>
            <w:r>
              <w:rPr>
                <w:rFonts w:hint="eastAsia" w:ascii="黑体" w:hAnsi="黑体" w:eastAsia="黑体" w:cs="黑体"/>
                <w:sz w:val="24"/>
              </w:rPr>
              <w:t>采购方式</w:t>
            </w:r>
          </w:p>
        </w:tc>
        <w:tc>
          <w:tcPr>
            <w:tcW w:w="1466" w:type="dxa"/>
            <w:vAlign w:val="center"/>
          </w:tcPr>
          <w:p w14:paraId="4159CA35">
            <w:pPr>
              <w:spacing w:line="600" w:lineRule="exact"/>
              <w:jc w:val="center"/>
              <w:rPr>
                <w:rFonts w:ascii="黑体" w:hAnsi="黑体" w:eastAsia="黑体" w:cs="黑体"/>
                <w:sz w:val="24"/>
              </w:rPr>
            </w:pPr>
            <w:r>
              <w:rPr>
                <w:rFonts w:hint="eastAsia" w:ascii="黑体" w:hAnsi="黑体" w:eastAsia="黑体" w:cs="黑体"/>
                <w:sz w:val="24"/>
              </w:rPr>
              <w:t>备注</w:t>
            </w:r>
          </w:p>
        </w:tc>
      </w:tr>
      <w:tr w14:paraId="43E7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D01F129">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740" w:type="dxa"/>
            <w:vAlign w:val="center"/>
          </w:tcPr>
          <w:p w14:paraId="3D4EC248">
            <w:pPr>
              <w:spacing w:line="600" w:lineRule="exact"/>
              <w:jc w:val="center"/>
              <w:rPr>
                <w:rFonts w:ascii="仿宋_GB2312" w:hAnsi="仿宋_GB2312" w:eastAsia="仿宋_GB2312" w:cs="仿宋_GB2312"/>
                <w:sz w:val="24"/>
              </w:rPr>
            </w:pPr>
            <w:bookmarkStart w:id="3" w:name="OLE_LINK1"/>
            <w:bookmarkStart w:id="4" w:name="OLE_LINK2"/>
            <w:r>
              <w:rPr>
                <w:rFonts w:hint="eastAsia" w:ascii="仿宋" w:hAnsi="仿宋" w:eastAsia="仿宋"/>
                <w:kern w:val="0"/>
                <w:sz w:val="28"/>
                <w:szCs w:val="28"/>
              </w:rPr>
              <w:t>GE64排CT维保</w:t>
            </w:r>
            <w:r>
              <w:rPr>
                <w:rFonts w:hint="eastAsia" w:ascii="仿宋" w:hAnsi="仿宋" w:eastAsia="仿宋"/>
                <w:sz w:val="28"/>
                <w:szCs w:val="28"/>
              </w:rPr>
              <w:t>采购</w:t>
            </w:r>
            <w:bookmarkEnd w:id="3"/>
            <w:bookmarkEnd w:id="4"/>
          </w:p>
        </w:tc>
        <w:tc>
          <w:tcPr>
            <w:tcW w:w="1215" w:type="dxa"/>
            <w:vAlign w:val="center"/>
          </w:tcPr>
          <w:p w14:paraId="1C7634A9">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CT室</w:t>
            </w:r>
          </w:p>
        </w:tc>
        <w:tc>
          <w:tcPr>
            <w:tcW w:w="1080" w:type="dxa"/>
            <w:vAlign w:val="center"/>
          </w:tcPr>
          <w:p w14:paraId="38050489">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335" w:type="dxa"/>
            <w:vAlign w:val="center"/>
          </w:tcPr>
          <w:p w14:paraId="7ED80B24">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59.8</w:t>
            </w:r>
          </w:p>
        </w:tc>
        <w:tc>
          <w:tcPr>
            <w:tcW w:w="1200" w:type="dxa"/>
            <w:vAlign w:val="center"/>
          </w:tcPr>
          <w:p w14:paraId="0BCDE82A">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59.8</w:t>
            </w:r>
          </w:p>
        </w:tc>
        <w:tc>
          <w:tcPr>
            <w:tcW w:w="1290" w:type="dxa"/>
            <w:vAlign w:val="center"/>
          </w:tcPr>
          <w:p w14:paraId="16C9E02A">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单一来源</w:t>
            </w:r>
          </w:p>
        </w:tc>
        <w:tc>
          <w:tcPr>
            <w:tcW w:w="1466" w:type="dxa"/>
            <w:vAlign w:val="center"/>
          </w:tcPr>
          <w:p w14:paraId="2765D74C">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z w:val="24"/>
              </w:rPr>
              <w:t>第一次公示</w:t>
            </w:r>
          </w:p>
        </w:tc>
      </w:tr>
    </w:tbl>
    <w:p w14:paraId="7A6E8017">
      <w:pPr>
        <w:rPr>
          <w:rFonts w:ascii="宋体" w:hAnsi="宋体" w:eastAsia="宋体" w:cs="宋体"/>
          <w:color w:val="222222"/>
          <w:sz w:val="24"/>
          <w:shd w:val="clear" w:color="auto" w:fill="FFFFFF"/>
        </w:rPr>
      </w:pPr>
    </w:p>
    <w:p w14:paraId="0E39C711">
      <w:pPr>
        <w:ind w:firstLine="480" w:firstLineChars="200"/>
        <w:rPr>
          <w:rFonts w:ascii="宋体" w:hAnsi="宋体" w:eastAsia="宋体" w:cs="宋体"/>
          <w:color w:val="222222"/>
          <w:sz w:val="24"/>
          <w:shd w:val="clear" w:color="auto" w:fill="FFFFFF"/>
        </w:rPr>
      </w:pPr>
    </w:p>
    <w:p w14:paraId="6836F355">
      <w:pPr>
        <w:ind w:firstLine="640" w:firstLineChars="200"/>
        <w:rPr>
          <w:rFonts w:ascii="黑体" w:hAnsi="黑体" w:eastAsia="黑体" w:cs="黑体"/>
          <w:sz w:val="32"/>
          <w:szCs w:val="32"/>
        </w:rPr>
      </w:pPr>
      <w:r>
        <w:rPr>
          <w:rFonts w:hint="eastAsia" w:ascii="黑体" w:hAnsi="黑体" w:eastAsia="黑体" w:cs="黑体"/>
          <w:sz w:val="32"/>
          <w:szCs w:val="32"/>
        </w:rPr>
        <w:t>二、资格要求</w:t>
      </w:r>
    </w:p>
    <w:p w14:paraId="13C08FBD">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（一）满足《中华人民共和国政府采购法》第二十二条规定。</w:t>
      </w:r>
    </w:p>
    <w:p w14:paraId="5966171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14:paraId="6E86286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14:paraId="22036E8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14:paraId="44B6ECB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14:paraId="7311077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5.参加政府采购活动前三年内，在经营活动中没有重大违法记录；</w:t>
      </w:r>
    </w:p>
    <w:p w14:paraId="5A0A64E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w:t>
      </w:r>
    </w:p>
    <w:p w14:paraId="0793E377">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（二）本项目不允许联合体投标。</w:t>
      </w:r>
    </w:p>
    <w:p w14:paraId="63F21DDC">
      <w:pPr>
        <w:pStyle w:val="2"/>
      </w:pPr>
    </w:p>
    <w:p w14:paraId="0E9769A3">
      <w:pPr>
        <w:ind w:firstLine="640" w:firstLineChars="200"/>
        <w:rPr>
          <w:rFonts w:ascii="黑体" w:hAnsi="黑体" w:eastAsia="黑体" w:cs="黑体"/>
          <w:sz w:val="32"/>
          <w:szCs w:val="32"/>
        </w:rPr>
      </w:pPr>
      <w:r>
        <w:rPr>
          <w:rFonts w:hint="eastAsia" w:ascii="黑体" w:hAnsi="黑体" w:eastAsia="黑体" w:cs="黑体"/>
          <w:sz w:val="32"/>
          <w:szCs w:val="32"/>
        </w:rPr>
        <w:t>三、商务</w:t>
      </w:r>
      <w:r>
        <w:rPr>
          <w:rFonts w:hint="eastAsia" w:ascii="黑体" w:hAnsi="黑体" w:eastAsia="黑体" w:cs="黑体"/>
          <w:sz w:val="32"/>
          <w:szCs w:val="32"/>
          <w:lang w:val="en-US" w:eastAsia="zh-CN"/>
        </w:rPr>
        <w:t>及技术</w:t>
      </w:r>
      <w:r>
        <w:rPr>
          <w:rFonts w:hint="eastAsia" w:ascii="黑体" w:hAnsi="黑体" w:eastAsia="黑体" w:cs="黑体"/>
          <w:sz w:val="32"/>
          <w:szCs w:val="32"/>
        </w:rPr>
        <w:t>要求</w:t>
      </w:r>
    </w:p>
    <w:p w14:paraId="3CE9F7BD">
      <w:pPr>
        <w:ind w:firstLine="640" w:firstLineChars="200"/>
        <w:rPr>
          <w:rFonts w:ascii="仿宋_GB2312" w:hAnsi="仿宋_GB2312" w:eastAsia="仿宋_GB2312" w:cs="仿宋_GB2312"/>
          <w:color w:val="auto"/>
          <w:sz w:val="32"/>
          <w:szCs w:val="32"/>
        </w:rPr>
      </w:pPr>
      <w:bookmarkStart w:id="5" w:name="OLE_LINK15"/>
      <w:bookmarkStart w:id="6" w:name="OLE_LINK13"/>
      <w:bookmarkStart w:id="7" w:name="OLE_LINK14"/>
      <w:bookmarkStart w:id="8" w:name="OLE_LINK17"/>
      <w:bookmarkStart w:id="9" w:name="OLE_LINK10"/>
      <w:bookmarkStart w:id="10" w:name="OLE_LINK8"/>
      <w:bookmarkStart w:id="11" w:name="OLE_LINK7"/>
      <w:r>
        <w:rPr>
          <w:rFonts w:hint="eastAsia" w:ascii="仿宋_GB2312" w:hAnsi="仿宋_GB2312" w:eastAsia="仿宋_GB2312" w:cs="仿宋_GB2312"/>
          <w:color w:val="auto"/>
          <w:sz w:val="32"/>
          <w:szCs w:val="32"/>
        </w:rPr>
        <w:t>1</w:t>
      </w:r>
      <w:bookmarkStart w:id="12" w:name="OLE_LINK9"/>
      <w:bookmarkStart w:id="13" w:name="OLE_LINK16"/>
      <w:r>
        <w:rPr>
          <w:rFonts w:hint="eastAsia" w:ascii="仿宋_GB2312" w:hAnsi="仿宋_GB2312" w:eastAsia="仿宋_GB2312" w:cs="仿宋_GB2312"/>
          <w:color w:val="auto"/>
          <w:sz w:val="32"/>
          <w:szCs w:val="32"/>
        </w:rPr>
        <w:t>、本次招标服务期限为三年，合同一年一签。</w:t>
      </w:r>
    </w:p>
    <w:p w14:paraId="70BB5FFB">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2、设备全年开机率大于95%（全年按365天计算），如超期停机，则乙方需延长相等的保修时间。</w:t>
      </w:r>
    </w:p>
    <w:bookmarkEnd w:id="5"/>
    <w:bookmarkEnd w:id="6"/>
    <w:bookmarkEnd w:id="7"/>
    <w:p w14:paraId="1CD5CDC8">
      <w:pPr>
        <w:ind w:firstLine="640" w:firstLineChars="200"/>
        <w:rPr>
          <w:rFonts w:ascii="仿宋_GB2312" w:hAnsi="仿宋_GB2312" w:eastAsia="仿宋_GB2312" w:cs="仿宋_GB2312"/>
          <w:color w:val="auto"/>
          <w:sz w:val="32"/>
          <w:szCs w:val="32"/>
        </w:rPr>
      </w:pPr>
      <w:bookmarkStart w:id="14" w:name="OLE_LINK11"/>
      <w:bookmarkStart w:id="15" w:name="OLE_LINK12"/>
      <w:r>
        <w:rPr>
          <w:rFonts w:hint="eastAsia" w:ascii="仿宋_GB2312" w:hAnsi="仿宋_GB2312" w:eastAsia="仿宋_GB2312" w:cs="仿宋_GB2312"/>
          <w:color w:val="auto"/>
          <w:sz w:val="32"/>
          <w:szCs w:val="32"/>
        </w:rPr>
        <w:t>3、付款方式：</w:t>
      </w:r>
    </w:p>
    <w:p w14:paraId="6B17243F">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合同签订后30个工作日内支付本次合同全款的30%，维保半年后再支付本次合同全款的40%，本次合同到期前验收合格后30个工作日内支付本次合同全款的30%。</w:t>
      </w:r>
      <w:bookmarkEnd w:id="8"/>
      <w:bookmarkEnd w:id="9"/>
      <w:bookmarkEnd w:id="12"/>
      <w:bookmarkEnd w:id="13"/>
      <w:bookmarkEnd w:id="14"/>
      <w:bookmarkEnd w:id="15"/>
    </w:p>
    <w:p w14:paraId="6012C5D6">
      <w:pPr>
        <w:ind w:firstLine="640" w:firstLineChars="200"/>
        <w:rPr>
          <w:rFonts w:hint="default" w:ascii="仿宋_GB2312" w:hAnsi="仿宋_GB2312" w:cs="仿宋_GB2312" w:eastAsiaTheme="minorEastAsia"/>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、技术服务要求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见附件</w:t>
      </w:r>
    </w:p>
    <w:p w14:paraId="2E68F476">
      <w:pPr>
        <w:pStyle w:val="2"/>
      </w:pPr>
    </w:p>
    <w:bookmarkEnd w:id="10"/>
    <w:bookmarkEnd w:id="11"/>
    <w:p w14:paraId="52BBF9D1">
      <w:pPr>
        <w:ind w:firstLine="640" w:firstLineChars="200"/>
        <w:rPr>
          <w:rFonts w:ascii="黑体" w:hAnsi="黑体" w:eastAsia="黑体" w:cs="黑体"/>
          <w:sz w:val="32"/>
          <w:szCs w:val="32"/>
        </w:rPr>
      </w:pPr>
      <w:r>
        <w:rPr>
          <w:rFonts w:hint="eastAsia" w:ascii="黑体" w:hAnsi="黑体" w:eastAsia="黑体" w:cs="黑体"/>
          <w:sz w:val="32"/>
          <w:szCs w:val="32"/>
        </w:rPr>
        <w:t>四、其他要求</w:t>
      </w:r>
    </w:p>
    <w:p w14:paraId="0A87EFFA">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满足条件的潜在供应商标书内应提供以下资料扫描件（必须加盖公章，如缺少其中一项则取消参评资格）。</w:t>
      </w:r>
    </w:p>
    <w:p w14:paraId="11D1AFFF">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1.报价明细。本项目潜在供应商报价不能超过采购预算金额，超过预算金额视为无效报价。</w:t>
      </w:r>
    </w:p>
    <w:p w14:paraId="5D4172F5">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2.潜在供应商需提供投标资料承诺书，保证投标资料真实性、有效性。</w:t>
      </w:r>
    </w:p>
    <w:p w14:paraId="5E8F0C28">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3.根据实际情况勾选《大庆市人民医院采购供应商资格承诺函》并签字盖章，详见附件。</w:t>
      </w:r>
    </w:p>
    <w:p w14:paraId="2A9CC534">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4.售后服务承诺书及质量保证协议。</w:t>
      </w:r>
    </w:p>
    <w:p w14:paraId="284B174C">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提供近三年内（本项目投标截止期前）①未被“信用中国网站”列入失信被执行人、重大税收违法案件当事人名单的；②未被“中国政府采购网”列入政府采购严重违法失信行为记录名单（处罚期限尚未届满的）的证明。</w:t>
      </w:r>
    </w:p>
    <w:p w14:paraId="735922B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6.社保经办机构出具的</w:t>
      </w:r>
      <w:r>
        <w:rPr>
          <w:rFonts w:ascii="Times New Roman" w:hAnsi="Times New Roman" w:eastAsia="仿宋_GB2312" w:cs="Times New Roman"/>
          <w:sz w:val="32"/>
          <w:szCs w:val="32"/>
        </w:rPr>
        <w:t>本单位职工</w:t>
      </w:r>
      <w:r>
        <w:rPr>
          <w:rFonts w:hint="eastAsia" w:ascii="Times New Roman" w:hAnsi="Times New Roman" w:eastAsia="仿宋_GB2312" w:cs="Times New Roman"/>
          <w:sz w:val="32"/>
          <w:szCs w:val="32"/>
          <w:lang w:val="en-US" w:eastAsia="zh-CN"/>
        </w:rPr>
        <w:t>及授权代表</w:t>
      </w:r>
      <w:r>
        <w:rPr>
          <w:rFonts w:hint="eastAsia" w:ascii="仿宋_GB2312" w:hAnsi="仿宋_GB2312" w:eastAsia="仿宋_GB2312" w:cs="仿宋_GB2312"/>
          <w:sz w:val="32"/>
          <w:szCs w:val="32"/>
        </w:rPr>
        <w:t xml:space="preserve">社会保障资金缴纳证明。 </w:t>
      </w:r>
    </w:p>
    <w:p w14:paraId="0E889CC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（1）基本养老保险缴纳证明或基本养老保险缴费清单。</w:t>
      </w:r>
    </w:p>
    <w:p w14:paraId="58F4A9E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（2）基本医疗保险缴纳证明或基本医疗保险缴费清单。</w:t>
      </w:r>
    </w:p>
    <w:p w14:paraId="41D7FB34">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工伤保险缴纳证明或工伤保险缴费清单。</w:t>
      </w:r>
    </w:p>
    <w:p w14:paraId="086752A9">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失业保险缴纳证明或失业保险缴费清单。</w:t>
      </w:r>
    </w:p>
    <w:p w14:paraId="71C1F2C8">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生育保险缴纳证明或生育保险缴费清单。</w:t>
      </w:r>
    </w:p>
    <w:p w14:paraId="3348233E">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仿宋_GB2312" w:hAnsi="仿宋_GB2312" w:eastAsia="仿宋_GB2312" w:cs="仿宋_GB2312"/>
          <w:sz w:val="32"/>
          <w:szCs w:val="32"/>
        </w:rPr>
        <w:t>新成立的企业（三个月内成立的）或在法规范围内不需提</w:t>
      </w:r>
      <w:r>
        <w:rPr>
          <w:rFonts w:hint="eastAsia" w:ascii="Times New Roman" w:hAnsi="Times New Roman" w:eastAsia="仿宋_GB2312" w:cs="Times New Roman"/>
          <w:sz w:val="32"/>
          <w:szCs w:val="32"/>
        </w:rPr>
        <w:t>供的机构，应提供书面说明和有关佐证文件。</w:t>
      </w:r>
    </w:p>
    <w:p w14:paraId="1FF38C16">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（7）关于依法缴纳社会保障资金的证明材料的说明： 本项目采购文件中所称“社保经办机构”是指：《社会保险经办条例》（中华人民共和国国务院令第765号）第六十条中“社会保险经办机构”，即人力资源社会保障行政部门所属的经办基本养老保险、工伤保险、失业保险等社会保险的机构和医疗保障行政部门所属的经办基本医疗保险、生育保险等社会保险的机构。</w:t>
      </w:r>
    </w:p>
    <w:p w14:paraId="547B56BC">
      <w:pPr>
        <w:ind w:firstLine="64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税务部门出具的佐证文件（如完税证明）不作为有效资格条件。</w:t>
      </w:r>
    </w:p>
    <w:p w14:paraId="67544BEC">
      <w:pPr>
        <w:ind w:firstLine="640" w:firstLineChars="200"/>
        <w:rPr>
          <w:rFonts w:ascii="黑体" w:hAnsi="黑体" w:eastAsia="黑体" w:cs="黑体"/>
          <w:sz w:val="32"/>
          <w:szCs w:val="32"/>
        </w:rPr>
      </w:pPr>
      <w:r>
        <w:rPr>
          <w:rFonts w:hint="eastAsia" w:ascii="黑体" w:hAnsi="黑体" w:eastAsia="黑体" w:cs="黑体"/>
          <w:sz w:val="32"/>
          <w:szCs w:val="32"/>
        </w:rPr>
        <w:t>五、投标文件要求</w:t>
      </w:r>
    </w:p>
    <w:p w14:paraId="63AD279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（一）标书要求：一本正本、三本副本均加盖公章，装订方式为胶装。</w:t>
      </w:r>
    </w:p>
    <w:p w14:paraId="6A05E3F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（二）参与两项或以上采购项目投标的需各项目独立做标书。</w:t>
      </w:r>
    </w:p>
    <w:p w14:paraId="380606A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（三）标书封面须有以下内容：</w:t>
      </w:r>
    </w:p>
    <w:p w14:paraId="2B92538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1.正本或副本标识；</w:t>
      </w:r>
    </w:p>
    <w:p w14:paraId="591D722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2.投标项目名称及项目编号；</w:t>
      </w:r>
    </w:p>
    <w:p w14:paraId="1966A2E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3.投标单位名称；</w:t>
      </w:r>
    </w:p>
    <w:p w14:paraId="7E44915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3.投标公司联系人及联系方式；</w:t>
      </w:r>
    </w:p>
    <w:p w14:paraId="0709C21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5.投标日期。</w:t>
      </w:r>
    </w:p>
    <w:p w14:paraId="5E560FF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（四）标书内需含目录并与页码相对应。</w:t>
      </w:r>
    </w:p>
    <w:p w14:paraId="554EA71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（五）投标文件需进行密封</w:t>
      </w:r>
      <w:r>
        <w:rPr>
          <w:rFonts w:hint="eastAsia" w:ascii="仿宋_GB2312" w:hAnsi="仿宋_GB2312" w:eastAsia="仿宋_GB2312" w:cs="仿宋_GB2312"/>
          <w:sz w:val="32"/>
          <w:szCs w:val="32"/>
          <w:lang w:val="en-US" w:eastAsia="zh-CN"/>
        </w:rPr>
        <w:t>加盖公章</w:t>
      </w:r>
      <w:r>
        <w:rPr>
          <w:rFonts w:hint="eastAsia" w:ascii="仿宋_GB2312" w:hAnsi="仿宋_GB2312" w:eastAsia="仿宋_GB2312" w:cs="仿宋_GB2312"/>
          <w:sz w:val="32"/>
          <w:szCs w:val="32"/>
        </w:rPr>
        <w:t>，开标现场递交。投标文件一律不退，请投标方自留底稿。</w:t>
      </w:r>
    </w:p>
    <w:p w14:paraId="2AE73439">
      <w:pPr>
        <w:ind w:firstLine="640" w:firstLineChars="200"/>
        <w:rPr>
          <w:rFonts w:ascii="黑体" w:hAnsi="黑体" w:eastAsia="黑体" w:cs="黑体"/>
          <w:sz w:val="32"/>
          <w:szCs w:val="32"/>
        </w:rPr>
      </w:pPr>
      <w:r>
        <w:rPr>
          <w:rFonts w:hint="eastAsia" w:ascii="黑体" w:hAnsi="黑体" w:eastAsia="黑体" w:cs="黑体"/>
          <w:sz w:val="32"/>
          <w:szCs w:val="32"/>
        </w:rPr>
        <w:t>六、报名须知</w:t>
      </w:r>
    </w:p>
    <w:p w14:paraId="47ED839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（一）报名时间：</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日起至202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日（法定节假日除外）。</w:t>
      </w:r>
    </w:p>
    <w:p w14:paraId="2B5D2170">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（二）开标时间及地点：</w:t>
      </w:r>
      <w:r>
        <w:rPr>
          <w:rFonts w:hint="eastAsia" w:ascii="仿宋_GB2312" w:hAnsi="仿宋_GB2312" w:eastAsia="仿宋_GB2312" w:cs="仿宋_GB2312"/>
          <w:sz w:val="32"/>
          <w:szCs w:val="32"/>
          <w:lang w:val="en-US" w:eastAsia="zh-CN"/>
        </w:rPr>
        <w:t>2025年1月14日上午8：30，机关四楼学术报告厅。</w:t>
      </w:r>
    </w:p>
    <w:p w14:paraId="1B7A076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（三）投标代表（法人或法人授权人）请在开标时间前半小时携带身份证到达会场签到（签到时查验身份证件）。</w:t>
      </w:r>
    </w:p>
    <w:p w14:paraId="182D803F">
      <w:pPr>
        <w:pStyle w:val="2"/>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（四）联系电话：</w:t>
      </w:r>
      <w:r>
        <w:rPr>
          <w:rFonts w:hint="eastAsia" w:ascii="仿宋_GB2312" w:hAnsi="仿宋_GB2312" w:eastAsia="仿宋_GB2312" w:cs="仿宋_GB2312"/>
          <w:color w:val="auto"/>
          <w:sz w:val="32"/>
          <w:szCs w:val="32"/>
        </w:rPr>
        <w:t>0459-6612937</w:t>
      </w:r>
    </w:p>
    <w:p w14:paraId="7909C354">
      <w:pPr>
        <w:pStyle w:val="2"/>
        <w:rPr>
          <w:rFonts w:hint="eastAsia" w:ascii="仿宋_GB2312" w:hAnsi="仿宋_GB2312" w:eastAsia="仿宋_GB2312" w:cs="仿宋_GB2312"/>
          <w:color w:val="auto"/>
          <w:sz w:val="32"/>
          <w:szCs w:val="32"/>
        </w:rPr>
      </w:pPr>
    </w:p>
    <w:p w14:paraId="7FB5D696">
      <w:pPr>
        <w:pStyle w:val="2"/>
        <w:rPr>
          <w:rFonts w:hint="eastAsia" w:ascii="仿宋_GB2312" w:hAnsi="仿宋_GB2312" w:eastAsia="仿宋_GB2312" w:cs="仿宋_GB2312"/>
          <w:color w:val="auto"/>
          <w:sz w:val="32"/>
          <w:szCs w:val="32"/>
        </w:rPr>
      </w:pPr>
    </w:p>
    <w:p w14:paraId="625D0D98">
      <w:pPr>
        <w:pStyle w:val="2"/>
        <w:rPr>
          <w:rFonts w:hint="eastAsia" w:ascii="仿宋_GB2312" w:hAnsi="仿宋_GB2312" w:eastAsia="仿宋_GB2312" w:cs="仿宋_GB2312"/>
          <w:color w:val="auto"/>
          <w:sz w:val="32"/>
          <w:szCs w:val="32"/>
        </w:rPr>
      </w:pPr>
    </w:p>
    <w:p w14:paraId="45EB9689">
      <w:pPr>
        <w:pStyle w:val="2"/>
        <w:rPr>
          <w:rFonts w:hint="eastAsia" w:ascii="仿宋_GB2312" w:hAnsi="仿宋_GB2312" w:eastAsia="仿宋_GB2312" w:cs="仿宋_GB2312"/>
          <w:color w:val="auto"/>
          <w:sz w:val="32"/>
          <w:szCs w:val="32"/>
        </w:rPr>
      </w:pPr>
    </w:p>
    <w:p w14:paraId="746A0CC4">
      <w:pPr>
        <w:pStyle w:val="2"/>
        <w:rPr>
          <w:rFonts w:hint="eastAsia" w:ascii="仿宋_GB2312" w:hAnsi="仿宋_GB2312" w:eastAsia="仿宋_GB2312" w:cs="仿宋_GB2312"/>
          <w:color w:val="auto"/>
          <w:sz w:val="32"/>
          <w:szCs w:val="32"/>
        </w:rPr>
      </w:pPr>
    </w:p>
    <w:p w14:paraId="750DEEF4">
      <w:pPr>
        <w:pStyle w:val="2"/>
        <w:rPr>
          <w:rFonts w:hint="eastAsia" w:ascii="仿宋_GB2312" w:hAnsi="仿宋_GB2312" w:eastAsia="仿宋_GB2312" w:cs="仿宋_GB2312"/>
          <w:color w:val="auto"/>
          <w:sz w:val="32"/>
          <w:szCs w:val="32"/>
        </w:rPr>
      </w:pPr>
    </w:p>
    <w:p w14:paraId="6CFA6AAA">
      <w:pPr>
        <w:pStyle w:val="2"/>
        <w:rPr>
          <w:rFonts w:hint="eastAsia" w:ascii="仿宋_GB2312" w:hAnsi="仿宋_GB2312" w:eastAsia="仿宋_GB2312" w:cs="仿宋_GB2312"/>
          <w:color w:val="auto"/>
          <w:sz w:val="32"/>
          <w:szCs w:val="32"/>
        </w:rPr>
      </w:pPr>
    </w:p>
    <w:p w14:paraId="61390970">
      <w:pPr>
        <w:pStyle w:val="2"/>
        <w:rPr>
          <w:rFonts w:hint="eastAsia" w:ascii="仿宋_GB2312" w:hAnsi="仿宋_GB2312" w:eastAsia="仿宋_GB2312" w:cs="仿宋_GB2312"/>
          <w:color w:val="auto"/>
          <w:sz w:val="32"/>
          <w:szCs w:val="32"/>
        </w:rPr>
      </w:pPr>
    </w:p>
    <w:p w14:paraId="56FF4AB6">
      <w:pPr>
        <w:pStyle w:val="2"/>
        <w:rPr>
          <w:rFonts w:hint="eastAsia" w:ascii="仿宋_GB2312" w:hAnsi="仿宋_GB2312" w:eastAsia="仿宋_GB2312" w:cs="仿宋_GB2312"/>
          <w:color w:val="auto"/>
          <w:sz w:val="32"/>
          <w:szCs w:val="32"/>
        </w:rPr>
      </w:pPr>
    </w:p>
    <w:p w14:paraId="6CBA44C0">
      <w:pPr>
        <w:pStyle w:val="2"/>
        <w:rPr>
          <w:rFonts w:hint="eastAsia" w:ascii="仿宋_GB2312" w:hAnsi="仿宋_GB2312" w:eastAsia="仿宋_GB2312" w:cs="仿宋_GB2312"/>
          <w:color w:val="auto"/>
          <w:sz w:val="32"/>
          <w:szCs w:val="32"/>
        </w:rPr>
      </w:pPr>
    </w:p>
    <w:p w14:paraId="650825F3">
      <w:pPr>
        <w:pStyle w:val="2"/>
        <w:rPr>
          <w:rFonts w:hint="eastAsia" w:ascii="仿宋_GB2312" w:hAnsi="仿宋_GB2312" w:eastAsia="仿宋_GB2312" w:cs="仿宋_GB2312"/>
          <w:color w:val="auto"/>
          <w:sz w:val="32"/>
          <w:szCs w:val="32"/>
        </w:rPr>
      </w:pPr>
      <w:bookmarkStart w:id="17" w:name="_GoBack"/>
      <w:bookmarkEnd w:id="17"/>
    </w:p>
    <w:p w14:paraId="78B2111D">
      <w:pPr>
        <w:pStyle w:val="2"/>
        <w:rPr>
          <w:rFonts w:hint="eastAsia"/>
          <w:kern w:val="2"/>
        </w:rPr>
      </w:pPr>
    </w:p>
    <w:p w14:paraId="42D0DB7E">
      <w:pPr>
        <w:pStyle w:val="2"/>
        <w:rPr>
          <w:rFonts w:hint="eastAsia"/>
          <w:kern w:val="2"/>
        </w:rPr>
      </w:pPr>
    </w:p>
    <w:p w14:paraId="20D9518A">
      <w:pPr>
        <w:pStyle w:val="2"/>
        <w:rPr>
          <w:rFonts w:hint="eastAsia"/>
          <w:kern w:val="2"/>
        </w:rPr>
      </w:pPr>
    </w:p>
    <w:p w14:paraId="5D5300C1">
      <w:pPr>
        <w:pStyle w:val="3"/>
        <w:jc w:val="left"/>
        <w:rPr>
          <w:rFonts w:hint="eastAsia"/>
          <w:kern w:val="2"/>
          <w:sz w:val="32"/>
          <w:szCs w:val="32"/>
          <w:lang w:val="en-US" w:eastAsia="zh-CN"/>
        </w:rPr>
      </w:pPr>
    </w:p>
    <w:p w14:paraId="6229026D">
      <w:pPr>
        <w:pStyle w:val="3"/>
        <w:jc w:val="left"/>
        <w:rPr>
          <w:rFonts w:hint="eastAsia" w:eastAsiaTheme="minorEastAsia"/>
          <w:kern w:val="2"/>
          <w:sz w:val="32"/>
          <w:szCs w:val="32"/>
          <w:lang w:val="en-US" w:eastAsia="zh-CN"/>
        </w:rPr>
      </w:pPr>
      <w:r>
        <w:rPr>
          <w:rFonts w:hint="eastAsia"/>
          <w:kern w:val="2"/>
          <w:sz w:val="32"/>
          <w:szCs w:val="32"/>
          <w:lang w:val="en-US" w:eastAsia="zh-CN"/>
        </w:rPr>
        <w:t>附件：</w:t>
      </w:r>
    </w:p>
    <w:p w14:paraId="108BA03D">
      <w:pPr>
        <w:pStyle w:val="3"/>
        <w:jc w:val="center"/>
        <w:rPr>
          <w:kern w:val="2"/>
        </w:rPr>
      </w:pPr>
      <w:r>
        <w:rPr>
          <w:rFonts w:hint="eastAsia"/>
          <w:kern w:val="2"/>
        </w:rPr>
        <w:t>技术服务要求</w:t>
      </w:r>
    </w:p>
    <w:p w14:paraId="5AAB98AA">
      <w:pPr>
        <w:pStyle w:val="20"/>
        <w:spacing w:before="129" w:line="228" w:lineRule="auto"/>
        <w:ind w:left="123"/>
        <w:rPr>
          <w:rFonts w:asciiTheme="minorEastAsia" w:hAnsiTheme="minorEastAsia" w:eastAsiaTheme="minorEastAsia"/>
          <w:sz w:val="28"/>
          <w:szCs w:val="28"/>
          <w:lang w:eastAsia="zh-CN"/>
        </w:rPr>
      </w:pPr>
      <w:r>
        <w:rPr>
          <w:rFonts w:hint="eastAsia" w:asciiTheme="minorEastAsia" w:hAnsiTheme="minorEastAsia" w:eastAsiaTheme="minorEastAsia"/>
          <w:spacing w:val="10"/>
          <w:sz w:val="28"/>
          <w:szCs w:val="28"/>
          <w:lang w:eastAsia="zh-CN"/>
        </w:rPr>
        <w:t>1</w:t>
      </w:r>
      <w:bookmarkStart w:id="16" w:name="OLE_LINK3"/>
      <w:r>
        <w:rPr>
          <w:rFonts w:hint="eastAsia" w:asciiTheme="minorEastAsia" w:hAnsiTheme="minorEastAsia" w:eastAsiaTheme="minorEastAsia"/>
          <w:spacing w:val="10"/>
          <w:sz w:val="28"/>
          <w:szCs w:val="28"/>
          <w:lang w:eastAsia="zh-CN"/>
        </w:rPr>
        <w:t>、保修设备：64排</w:t>
      </w:r>
      <w:r>
        <w:rPr>
          <w:rFonts w:hint="eastAsia" w:asciiTheme="minorEastAsia" w:hAnsiTheme="minorEastAsia" w:eastAsiaTheme="minorEastAsia"/>
          <w:sz w:val="28"/>
          <w:szCs w:val="28"/>
          <w:lang w:eastAsia="zh-CN"/>
        </w:rPr>
        <w:t>CT</w:t>
      </w:r>
      <w:r>
        <w:rPr>
          <w:rFonts w:hint="eastAsia" w:asciiTheme="minorEastAsia" w:hAnsiTheme="minorEastAsia" w:eastAsiaTheme="minorEastAsia"/>
          <w:spacing w:val="10"/>
          <w:sz w:val="28"/>
          <w:szCs w:val="28"/>
          <w:lang w:eastAsia="zh-CN"/>
        </w:rPr>
        <w:t>设备，具体型号为</w:t>
      </w:r>
      <w:r>
        <w:rPr>
          <w:rFonts w:hint="eastAsia" w:asciiTheme="minorEastAsia" w:hAnsiTheme="minorEastAsia" w:eastAsiaTheme="minorEastAsia"/>
          <w:sz w:val="28"/>
          <w:szCs w:val="28"/>
          <w:lang w:eastAsia="zh-CN"/>
        </w:rPr>
        <w:t>GE</w:t>
      </w:r>
      <w:r>
        <w:rPr>
          <w:rFonts w:hint="eastAsia" w:asciiTheme="minorEastAsia" w:hAnsiTheme="minorEastAsia" w:eastAsiaTheme="minorEastAsia"/>
          <w:spacing w:val="10"/>
          <w:sz w:val="28"/>
          <w:szCs w:val="28"/>
          <w:lang w:eastAsia="zh-CN"/>
        </w:rPr>
        <w:t xml:space="preserve"> optima680 </w:t>
      </w:r>
      <w:r>
        <w:rPr>
          <w:rFonts w:hint="eastAsia" w:asciiTheme="minorEastAsia" w:hAnsiTheme="minorEastAsia" w:eastAsiaTheme="minorEastAsia"/>
          <w:sz w:val="28"/>
          <w:szCs w:val="28"/>
          <w:lang w:eastAsia="zh-CN"/>
        </w:rPr>
        <w:t>CT</w:t>
      </w:r>
      <w:r>
        <w:rPr>
          <w:rFonts w:hint="eastAsia" w:asciiTheme="minorEastAsia" w:hAnsiTheme="minorEastAsia" w:eastAsiaTheme="minorEastAsia"/>
          <w:spacing w:val="10"/>
          <w:sz w:val="28"/>
          <w:szCs w:val="28"/>
          <w:lang w:eastAsia="zh-CN"/>
        </w:rPr>
        <w:t>。</w:t>
      </w:r>
    </w:p>
    <w:p w14:paraId="377B6827">
      <w:pPr>
        <w:rPr>
          <w:rFonts w:cs="宋体" w:asciiTheme="minorEastAsia" w:hAnsiTheme="minorEastAsia"/>
          <w:spacing w:val="9"/>
          <w:sz w:val="28"/>
          <w:szCs w:val="28"/>
        </w:rPr>
      </w:pPr>
      <w:r>
        <w:rPr>
          <w:rFonts w:asciiTheme="minorEastAsia" w:hAnsiTheme="minorEastAsia"/>
          <w:spacing w:val="9"/>
          <w:sz w:val="28"/>
          <w:szCs w:val="28"/>
        </w:rPr>
        <w:t xml:space="preserve"> 2、</w:t>
      </w:r>
      <w:r>
        <w:rPr>
          <w:rFonts w:hint="eastAsia" w:cs="宋体" w:asciiTheme="minorEastAsia" w:hAnsiTheme="minorEastAsia"/>
          <w:spacing w:val="9"/>
          <w:sz w:val="28"/>
          <w:szCs w:val="28"/>
        </w:rPr>
        <w:t>保修范围CT设备：包含不限次数人工服务，不限制备件数量，备件必须为GE公司提供的原厂认证备件。</w:t>
      </w:r>
    </w:p>
    <w:p w14:paraId="74BBE207">
      <w:pPr>
        <w:pStyle w:val="20"/>
        <w:spacing w:before="222" w:line="328" w:lineRule="auto"/>
        <w:ind w:right="188"/>
        <w:rPr>
          <w:rFonts w:asciiTheme="minorEastAsia" w:hAnsiTheme="minorEastAsia" w:eastAsiaTheme="minorEastAsia"/>
          <w:sz w:val="28"/>
          <w:szCs w:val="28"/>
          <w:lang w:eastAsia="zh-CN"/>
        </w:rPr>
      </w:pPr>
      <w:r>
        <w:rPr>
          <w:rFonts w:hint="eastAsia" w:asciiTheme="minorEastAsia" w:hAnsiTheme="minorEastAsia" w:eastAsiaTheme="minorEastAsia"/>
          <w:spacing w:val="9"/>
          <w:sz w:val="28"/>
          <w:szCs w:val="28"/>
          <w:lang w:eastAsia="zh-CN"/>
        </w:rPr>
        <w:t xml:space="preserve"> 3、维护保养：保修期内提供设备的现场维护保养≥ 3</w:t>
      </w:r>
      <w:r>
        <w:rPr>
          <w:rFonts w:hint="eastAsia" w:asciiTheme="minorEastAsia" w:hAnsiTheme="minorEastAsia" w:eastAsiaTheme="minorEastAsia"/>
          <w:spacing w:val="8"/>
          <w:sz w:val="28"/>
          <w:szCs w:val="28"/>
          <w:lang w:eastAsia="zh-CN"/>
        </w:rPr>
        <w:t>次/年，</w:t>
      </w:r>
      <w:r>
        <w:rPr>
          <w:rFonts w:hint="eastAsia" w:asciiTheme="minorEastAsia" w:hAnsiTheme="minorEastAsia" w:eastAsiaTheme="minorEastAsia"/>
          <w:spacing w:val="7"/>
          <w:sz w:val="28"/>
          <w:szCs w:val="28"/>
          <w:lang w:eastAsia="zh-CN"/>
        </w:rPr>
        <w:t>并提供符合原厂技术要求的保养报告。</w:t>
      </w:r>
    </w:p>
    <w:p w14:paraId="2E39B73B">
      <w:pPr>
        <w:pStyle w:val="20"/>
        <w:spacing w:before="222" w:line="228" w:lineRule="auto"/>
        <w:ind w:left="107"/>
        <w:rPr>
          <w:rFonts w:asciiTheme="minorEastAsia" w:hAnsiTheme="minorEastAsia" w:eastAsiaTheme="minorEastAsia"/>
          <w:sz w:val="28"/>
          <w:szCs w:val="28"/>
          <w:lang w:eastAsia="zh-CN"/>
        </w:rPr>
      </w:pPr>
      <w:r>
        <w:rPr>
          <w:rFonts w:hint="eastAsia" w:asciiTheme="minorEastAsia" w:hAnsiTheme="minorEastAsia" w:eastAsiaTheme="minorEastAsia"/>
          <w:spacing w:val="8"/>
          <w:sz w:val="28"/>
          <w:szCs w:val="28"/>
          <w:lang w:eastAsia="zh-CN"/>
        </w:rPr>
        <w:t>4、保修期内维修人工费及差旅费全免。</w:t>
      </w:r>
    </w:p>
    <w:p w14:paraId="1EE1830C">
      <w:pPr>
        <w:pStyle w:val="20"/>
        <w:spacing w:before="220" w:line="228" w:lineRule="auto"/>
        <w:ind w:left="112"/>
        <w:rPr>
          <w:rFonts w:asciiTheme="minorEastAsia" w:hAnsiTheme="minorEastAsia" w:eastAsiaTheme="minorEastAsia"/>
          <w:sz w:val="28"/>
          <w:szCs w:val="28"/>
          <w:lang w:eastAsia="zh-CN"/>
        </w:rPr>
      </w:pPr>
      <w:r>
        <w:rPr>
          <w:rFonts w:hint="eastAsia" w:asciiTheme="minorEastAsia" w:hAnsiTheme="minorEastAsia" w:eastAsiaTheme="minorEastAsia"/>
          <w:spacing w:val="7"/>
          <w:sz w:val="28"/>
          <w:szCs w:val="28"/>
          <w:lang w:eastAsia="zh-CN"/>
        </w:rPr>
        <w:t>5、保修年限：合同签订后3年。</w:t>
      </w:r>
    </w:p>
    <w:p w14:paraId="0370548F">
      <w:pPr>
        <w:pStyle w:val="20"/>
        <w:spacing w:before="222" w:line="328" w:lineRule="auto"/>
        <w:ind w:left="107" w:right="189" w:firstLine="2"/>
        <w:rPr>
          <w:rFonts w:asciiTheme="minorEastAsia" w:hAnsiTheme="minorEastAsia" w:eastAsiaTheme="minorEastAsia"/>
          <w:sz w:val="28"/>
          <w:szCs w:val="28"/>
          <w:lang w:eastAsia="zh-CN"/>
        </w:rPr>
      </w:pPr>
      <w:r>
        <w:rPr>
          <w:rFonts w:hint="eastAsia" w:asciiTheme="minorEastAsia" w:hAnsiTheme="minorEastAsia" w:eastAsiaTheme="minorEastAsia"/>
          <w:spacing w:val="9"/>
          <w:sz w:val="28"/>
          <w:szCs w:val="28"/>
          <w:lang w:eastAsia="zh-CN"/>
        </w:rPr>
        <w:t>6、维修服务商必须能合法并及时获取并提供全套完整的原厂系统软硬件改进措施即</w:t>
      </w:r>
      <w:r>
        <w:rPr>
          <w:rFonts w:hint="eastAsia" w:asciiTheme="minorEastAsia" w:hAnsiTheme="minorEastAsia" w:eastAsiaTheme="minorEastAsia"/>
          <w:sz w:val="28"/>
          <w:szCs w:val="28"/>
          <w:lang w:eastAsia="zh-CN"/>
        </w:rPr>
        <w:t>FMI</w:t>
      </w:r>
      <w:r>
        <w:rPr>
          <w:rFonts w:hint="eastAsia" w:asciiTheme="minorEastAsia" w:hAnsiTheme="minorEastAsia" w:eastAsiaTheme="minorEastAsia"/>
          <w:spacing w:val="9"/>
          <w:sz w:val="28"/>
          <w:szCs w:val="28"/>
          <w:lang w:eastAsia="zh-CN"/>
        </w:rPr>
        <w:t>，提供说明材料。</w:t>
      </w:r>
    </w:p>
    <w:p w14:paraId="70DE5309">
      <w:pPr>
        <w:pStyle w:val="20"/>
        <w:spacing w:before="221" w:line="328" w:lineRule="auto"/>
        <w:ind w:left="107" w:right="189"/>
        <w:rPr>
          <w:rFonts w:asciiTheme="minorEastAsia" w:hAnsiTheme="minorEastAsia" w:eastAsiaTheme="minorEastAsia"/>
          <w:sz w:val="28"/>
          <w:szCs w:val="28"/>
          <w:lang w:eastAsia="zh-CN"/>
        </w:rPr>
      </w:pPr>
      <w:r>
        <w:rPr>
          <w:rFonts w:hint="eastAsia" w:asciiTheme="minorEastAsia" w:hAnsiTheme="minorEastAsia" w:eastAsiaTheme="minorEastAsia"/>
          <w:spacing w:val="9"/>
          <w:sz w:val="28"/>
          <w:szCs w:val="28"/>
          <w:lang w:eastAsia="zh-CN"/>
        </w:rPr>
        <w:t>7、紧急故障要求：维修服务商必须在接获报修电话后，提供突发性问题的解决措施及特殊紧急的合理化处理措施。</w:t>
      </w:r>
    </w:p>
    <w:p w14:paraId="1B7B76B8">
      <w:pPr>
        <w:pStyle w:val="20"/>
        <w:spacing w:before="221" w:line="228" w:lineRule="auto"/>
        <w:ind w:left="108"/>
        <w:rPr>
          <w:rFonts w:asciiTheme="minorEastAsia" w:hAnsiTheme="minorEastAsia" w:eastAsiaTheme="minorEastAsia"/>
          <w:sz w:val="28"/>
          <w:szCs w:val="28"/>
          <w:lang w:eastAsia="zh-CN"/>
        </w:rPr>
      </w:pPr>
      <w:r>
        <w:rPr>
          <w:rFonts w:hint="eastAsia" w:asciiTheme="minorEastAsia" w:hAnsiTheme="minorEastAsia" w:eastAsiaTheme="minorEastAsia"/>
          <w:spacing w:val="6"/>
          <w:sz w:val="28"/>
          <w:szCs w:val="28"/>
          <w:lang w:eastAsia="zh-CN"/>
        </w:rPr>
        <w:t>（1）、响应周期为全年。</w:t>
      </w:r>
    </w:p>
    <w:p w14:paraId="2F6F07A2">
      <w:pPr>
        <w:pStyle w:val="20"/>
        <w:spacing w:before="222" w:line="228" w:lineRule="auto"/>
        <w:ind w:left="108"/>
        <w:rPr>
          <w:rFonts w:asciiTheme="minorEastAsia" w:hAnsiTheme="minorEastAsia" w:eastAsiaTheme="minorEastAsia"/>
          <w:sz w:val="28"/>
          <w:szCs w:val="28"/>
          <w:lang w:eastAsia="zh-CN"/>
        </w:rPr>
      </w:pPr>
      <w:r>
        <w:rPr>
          <w:rFonts w:hint="eastAsia" w:asciiTheme="minorEastAsia" w:hAnsiTheme="minorEastAsia" w:eastAsiaTheme="minorEastAsia"/>
          <w:spacing w:val="6"/>
          <w:sz w:val="28"/>
          <w:szCs w:val="28"/>
          <w:lang w:eastAsia="zh-CN"/>
        </w:rPr>
        <w:t>（2）、响应时间须≤24小时。</w:t>
      </w:r>
    </w:p>
    <w:p w14:paraId="4D2BD8DC">
      <w:pPr>
        <w:pStyle w:val="20"/>
        <w:spacing w:before="221" w:line="228" w:lineRule="auto"/>
        <w:ind w:left="108"/>
        <w:rPr>
          <w:rFonts w:asciiTheme="minorEastAsia" w:hAnsiTheme="minorEastAsia" w:eastAsiaTheme="minorEastAsia"/>
          <w:sz w:val="28"/>
          <w:szCs w:val="28"/>
          <w:lang w:eastAsia="zh-CN"/>
        </w:rPr>
      </w:pPr>
      <w:r>
        <w:rPr>
          <w:rFonts w:hint="eastAsia" w:asciiTheme="minorEastAsia" w:hAnsiTheme="minorEastAsia" w:eastAsiaTheme="minorEastAsia"/>
          <w:spacing w:val="7"/>
          <w:sz w:val="28"/>
          <w:szCs w:val="28"/>
          <w:lang w:eastAsia="zh-CN"/>
        </w:rPr>
        <w:t>（3）、到达现场时间≤48小时。</w:t>
      </w:r>
    </w:p>
    <w:p w14:paraId="0AB85BCC">
      <w:pPr>
        <w:pStyle w:val="20"/>
        <w:spacing w:before="133" w:line="228" w:lineRule="auto"/>
        <w:ind w:left="123"/>
        <w:rPr>
          <w:rFonts w:asciiTheme="minorEastAsia" w:hAnsiTheme="minorEastAsia" w:eastAsiaTheme="minorEastAsia"/>
          <w:sz w:val="28"/>
          <w:szCs w:val="28"/>
          <w:lang w:eastAsia="zh-CN"/>
        </w:rPr>
      </w:pPr>
      <w:r>
        <w:rPr>
          <w:rFonts w:hint="eastAsia" w:asciiTheme="minorEastAsia" w:hAnsiTheme="minorEastAsia" w:eastAsiaTheme="minorEastAsia"/>
          <w:spacing w:val="7"/>
          <w:sz w:val="28"/>
          <w:szCs w:val="28"/>
          <w:lang w:eastAsia="zh-CN"/>
        </w:rPr>
        <w:t>8、维修服务商必须具备客户服务专线电话。</w:t>
      </w:r>
    </w:p>
    <w:p w14:paraId="51048ACC">
      <w:pPr>
        <w:pStyle w:val="20"/>
        <w:spacing w:before="220" w:line="362" w:lineRule="auto"/>
        <w:ind w:left="107" w:right="99" w:firstLine="16"/>
        <w:rPr>
          <w:rFonts w:asciiTheme="minorEastAsia" w:hAnsiTheme="minorEastAsia" w:eastAsiaTheme="minorEastAsia"/>
          <w:sz w:val="28"/>
          <w:szCs w:val="28"/>
          <w:lang w:eastAsia="zh-CN"/>
        </w:rPr>
      </w:pPr>
      <w:r>
        <w:rPr>
          <w:rFonts w:hint="eastAsia" w:asciiTheme="minorEastAsia" w:hAnsiTheme="minorEastAsia" w:eastAsiaTheme="minorEastAsia"/>
          <w:spacing w:val="8"/>
          <w:sz w:val="28"/>
          <w:szCs w:val="28"/>
          <w:lang w:eastAsia="zh-CN"/>
        </w:rPr>
        <w:t>9、维修服务商必须有</w:t>
      </w:r>
      <w:r>
        <w:rPr>
          <w:rFonts w:hint="eastAsia" w:asciiTheme="minorEastAsia" w:hAnsiTheme="minorEastAsia" w:eastAsiaTheme="minorEastAsia"/>
          <w:sz w:val="28"/>
          <w:szCs w:val="28"/>
          <w:lang w:eastAsia="zh-CN"/>
        </w:rPr>
        <w:t>CT</w:t>
      </w:r>
      <w:r>
        <w:rPr>
          <w:rFonts w:hint="eastAsia" w:asciiTheme="minorEastAsia" w:hAnsiTheme="minorEastAsia" w:eastAsiaTheme="minorEastAsia"/>
          <w:spacing w:val="8"/>
          <w:sz w:val="28"/>
          <w:szCs w:val="28"/>
          <w:lang w:eastAsia="zh-CN"/>
        </w:rPr>
        <w:t>系列设备专职技术支持团队≥2人，且至少1名</w:t>
      </w:r>
      <w:r>
        <w:rPr>
          <w:rFonts w:hint="eastAsia" w:asciiTheme="minorEastAsia" w:hAnsiTheme="minorEastAsia" w:eastAsiaTheme="minorEastAsia"/>
          <w:spacing w:val="9"/>
          <w:sz w:val="28"/>
          <w:szCs w:val="28"/>
          <w:lang w:eastAsia="zh-CN"/>
        </w:rPr>
        <w:t>具备10年以上的维修服务经验。提供团队人员姓名及原厂培</w:t>
      </w:r>
      <w:r>
        <w:rPr>
          <w:rFonts w:hint="eastAsia" w:asciiTheme="minorEastAsia" w:hAnsiTheme="minorEastAsia" w:eastAsiaTheme="minorEastAsia"/>
          <w:spacing w:val="8"/>
          <w:sz w:val="28"/>
          <w:szCs w:val="28"/>
          <w:lang w:eastAsia="zh-CN"/>
        </w:rPr>
        <w:t>训考核合格</w:t>
      </w:r>
      <w:r>
        <w:rPr>
          <w:rFonts w:hint="eastAsia" w:asciiTheme="minorEastAsia" w:hAnsiTheme="minorEastAsia" w:eastAsiaTheme="minorEastAsia"/>
          <w:spacing w:val="9"/>
          <w:sz w:val="28"/>
          <w:szCs w:val="28"/>
          <w:lang w:eastAsia="zh-CN"/>
        </w:rPr>
        <w:t>授权资质证，且在考核合格有效期内。提供说明文件。</w:t>
      </w:r>
    </w:p>
    <w:p w14:paraId="39760F37">
      <w:pPr>
        <w:pStyle w:val="20"/>
        <w:spacing w:before="220" w:line="362" w:lineRule="auto"/>
        <w:ind w:left="107" w:right="100" w:firstLine="15"/>
        <w:rPr>
          <w:rFonts w:asciiTheme="minorEastAsia" w:hAnsiTheme="minorEastAsia" w:eastAsiaTheme="minorEastAsia"/>
          <w:sz w:val="28"/>
          <w:szCs w:val="28"/>
          <w:lang w:eastAsia="zh-CN"/>
        </w:rPr>
      </w:pPr>
      <w:r>
        <w:rPr>
          <w:rFonts w:hint="eastAsia" w:asciiTheme="minorEastAsia" w:hAnsiTheme="minorEastAsia" w:eastAsiaTheme="minorEastAsia"/>
          <w:spacing w:val="8"/>
          <w:sz w:val="28"/>
          <w:szCs w:val="28"/>
          <w:lang w:eastAsia="zh-CN"/>
        </w:rPr>
        <w:t>10、维修服务商必须有</w:t>
      </w:r>
      <w:r>
        <w:rPr>
          <w:rFonts w:hint="eastAsia" w:asciiTheme="minorEastAsia" w:hAnsiTheme="minorEastAsia" w:eastAsiaTheme="minorEastAsia"/>
          <w:sz w:val="28"/>
          <w:szCs w:val="28"/>
          <w:lang w:eastAsia="zh-CN"/>
        </w:rPr>
        <w:t>CT</w:t>
      </w:r>
      <w:r>
        <w:rPr>
          <w:rFonts w:hint="eastAsia" w:asciiTheme="minorEastAsia" w:hAnsiTheme="minorEastAsia" w:eastAsiaTheme="minorEastAsia"/>
          <w:spacing w:val="8"/>
          <w:sz w:val="28"/>
          <w:szCs w:val="28"/>
          <w:lang w:eastAsia="zh-CN"/>
        </w:rPr>
        <w:t>系列现场服务工程师≥2人，且具备5年以上的</w:t>
      </w:r>
      <w:r>
        <w:rPr>
          <w:rFonts w:hint="eastAsia" w:asciiTheme="minorEastAsia" w:hAnsiTheme="minorEastAsia" w:eastAsiaTheme="minorEastAsia"/>
          <w:spacing w:val="11"/>
          <w:sz w:val="28"/>
          <w:szCs w:val="28"/>
          <w:lang w:eastAsia="zh-CN"/>
        </w:rPr>
        <w:t xml:space="preserve"> </w:t>
      </w:r>
      <w:r>
        <w:rPr>
          <w:rFonts w:hint="eastAsia" w:asciiTheme="minorEastAsia" w:hAnsiTheme="minorEastAsia" w:eastAsiaTheme="minorEastAsia"/>
          <w:spacing w:val="9"/>
          <w:sz w:val="28"/>
          <w:szCs w:val="28"/>
          <w:lang w:eastAsia="zh-CN"/>
        </w:rPr>
        <w:t>维修服务经验。提供工程师姓名及原厂培训考核合格授权资质证，且在</w:t>
      </w:r>
      <w:r>
        <w:rPr>
          <w:rFonts w:hint="eastAsia" w:asciiTheme="minorEastAsia" w:hAnsiTheme="minorEastAsia" w:eastAsiaTheme="minorEastAsia"/>
          <w:spacing w:val="8"/>
          <w:sz w:val="28"/>
          <w:szCs w:val="28"/>
          <w:lang w:eastAsia="zh-CN"/>
        </w:rPr>
        <w:t>考核合格有效期内。提供说明文件。</w:t>
      </w:r>
    </w:p>
    <w:p w14:paraId="5393DB79">
      <w:pPr>
        <w:pStyle w:val="20"/>
        <w:spacing w:before="222" w:line="225" w:lineRule="auto"/>
        <w:ind w:left="123"/>
        <w:rPr>
          <w:rFonts w:asciiTheme="minorEastAsia" w:hAnsiTheme="minorEastAsia" w:eastAsiaTheme="minorEastAsia"/>
          <w:sz w:val="28"/>
          <w:szCs w:val="28"/>
          <w:lang w:eastAsia="zh-CN"/>
        </w:rPr>
      </w:pPr>
      <w:r>
        <w:rPr>
          <w:rFonts w:hint="eastAsia" w:asciiTheme="minorEastAsia" w:hAnsiTheme="minorEastAsia" w:eastAsiaTheme="minorEastAsia"/>
          <w:spacing w:val="8"/>
          <w:sz w:val="28"/>
          <w:szCs w:val="28"/>
          <w:lang w:eastAsia="zh-CN"/>
        </w:rPr>
        <w:t>11、供应商提供所需维修及保养设备的制造商出具的授权书。</w:t>
      </w:r>
    </w:p>
    <w:p w14:paraId="357A9258">
      <w:pPr>
        <w:pStyle w:val="20"/>
        <w:spacing w:before="223" w:line="328" w:lineRule="auto"/>
        <w:ind w:left="111" w:right="45" w:firstLine="12"/>
        <w:rPr>
          <w:rFonts w:asciiTheme="minorEastAsia" w:hAnsiTheme="minorEastAsia" w:eastAsiaTheme="minorEastAsia"/>
          <w:sz w:val="28"/>
          <w:szCs w:val="28"/>
          <w:lang w:eastAsia="zh-CN"/>
        </w:rPr>
      </w:pPr>
      <w:r>
        <w:rPr>
          <w:rFonts w:hint="eastAsia" w:asciiTheme="minorEastAsia" w:hAnsiTheme="minorEastAsia" w:eastAsiaTheme="minorEastAsia"/>
          <w:spacing w:val="4"/>
          <w:sz w:val="28"/>
          <w:szCs w:val="28"/>
          <w:lang w:eastAsia="zh-CN"/>
        </w:rPr>
        <w:t>12、维修服务商必须具备充足的备件供应能力，要</w:t>
      </w:r>
      <w:r>
        <w:rPr>
          <w:rFonts w:hint="eastAsia" w:asciiTheme="minorEastAsia" w:hAnsiTheme="minorEastAsia" w:eastAsiaTheme="minorEastAsia"/>
          <w:spacing w:val="3"/>
          <w:sz w:val="28"/>
          <w:szCs w:val="28"/>
          <w:lang w:eastAsia="zh-CN"/>
        </w:rPr>
        <w:t>求设有备零备件仓库，</w:t>
      </w:r>
      <w:r>
        <w:rPr>
          <w:rFonts w:hint="eastAsia" w:asciiTheme="minorEastAsia" w:hAnsiTheme="minorEastAsia" w:eastAsiaTheme="minorEastAsia"/>
          <w:sz w:val="28"/>
          <w:szCs w:val="28"/>
          <w:lang w:eastAsia="zh-CN"/>
        </w:rPr>
        <w:t xml:space="preserve"> </w:t>
      </w:r>
      <w:r>
        <w:rPr>
          <w:rFonts w:hint="eastAsia" w:asciiTheme="minorEastAsia" w:hAnsiTheme="minorEastAsia" w:eastAsiaTheme="minorEastAsia"/>
          <w:spacing w:val="9"/>
          <w:sz w:val="28"/>
          <w:szCs w:val="28"/>
          <w:lang w:eastAsia="zh-CN"/>
        </w:rPr>
        <w:t>维修服务商须提供详细文字和图片等说明文件以供采购方核实。</w:t>
      </w:r>
    </w:p>
    <w:bookmarkEnd w:id="16"/>
    <w:p w14:paraId="4009A250">
      <w:pPr>
        <w:pStyle w:val="2"/>
        <w:ind w:firstLine="160" w:firstLineChars="50"/>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5YjAyYmQ1NDhkYWMzNGNmMDFlNTUyZmY5OWIzZDEifQ=="/>
  </w:docVars>
  <w:rsids>
    <w:rsidRoot w:val="005A11A3"/>
    <w:rsid w:val="0007387C"/>
    <w:rsid w:val="000979A9"/>
    <w:rsid w:val="00116175"/>
    <w:rsid w:val="001570B1"/>
    <w:rsid w:val="00196C06"/>
    <w:rsid w:val="0021202A"/>
    <w:rsid w:val="00237019"/>
    <w:rsid w:val="002F0AEB"/>
    <w:rsid w:val="003C3246"/>
    <w:rsid w:val="0042301F"/>
    <w:rsid w:val="004517ED"/>
    <w:rsid w:val="00466F22"/>
    <w:rsid w:val="00495EA4"/>
    <w:rsid w:val="004D468D"/>
    <w:rsid w:val="005214EA"/>
    <w:rsid w:val="00571358"/>
    <w:rsid w:val="005830D6"/>
    <w:rsid w:val="00593150"/>
    <w:rsid w:val="005A11A3"/>
    <w:rsid w:val="005E2000"/>
    <w:rsid w:val="0065719E"/>
    <w:rsid w:val="00672E38"/>
    <w:rsid w:val="00676BA5"/>
    <w:rsid w:val="00684A25"/>
    <w:rsid w:val="006E41E2"/>
    <w:rsid w:val="006F40EC"/>
    <w:rsid w:val="0079241A"/>
    <w:rsid w:val="00870D0A"/>
    <w:rsid w:val="008A75DD"/>
    <w:rsid w:val="00903FDB"/>
    <w:rsid w:val="009A6C99"/>
    <w:rsid w:val="00A04F68"/>
    <w:rsid w:val="00A22CBF"/>
    <w:rsid w:val="00A34CAA"/>
    <w:rsid w:val="00A74C23"/>
    <w:rsid w:val="00B47C12"/>
    <w:rsid w:val="00BC0D00"/>
    <w:rsid w:val="00BE1170"/>
    <w:rsid w:val="00CB5EE7"/>
    <w:rsid w:val="00CE6B4C"/>
    <w:rsid w:val="00D22CF3"/>
    <w:rsid w:val="00D655C8"/>
    <w:rsid w:val="00DD5227"/>
    <w:rsid w:val="00EE3024"/>
    <w:rsid w:val="00EE6853"/>
    <w:rsid w:val="00EF5C8A"/>
    <w:rsid w:val="00F002EC"/>
    <w:rsid w:val="00F43542"/>
    <w:rsid w:val="00F67B86"/>
    <w:rsid w:val="00F75766"/>
    <w:rsid w:val="0D7A11E1"/>
    <w:rsid w:val="12DB7938"/>
    <w:rsid w:val="19EF22EB"/>
    <w:rsid w:val="1C6E7E6B"/>
    <w:rsid w:val="20783067"/>
    <w:rsid w:val="23C8145D"/>
    <w:rsid w:val="27781B9E"/>
    <w:rsid w:val="30751371"/>
    <w:rsid w:val="3D5B796E"/>
    <w:rsid w:val="4EEC05F8"/>
    <w:rsid w:val="64D82CF5"/>
    <w:rsid w:val="6B264A3A"/>
    <w:rsid w:val="71945A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5">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Plain Text"/>
    <w:basedOn w:val="1"/>
    <w:link w:val="18"/>
    <w:uiPriority w:val="0"/>
    <w:rPr>
      <w:rFonts w:ascii="宋体" w:hAnsi="Courier New" w:eastAsia="宋体" w:cs="Courier New"/>
      <w:szCs w:val="21"/>
    </w:rPr>
  </w:style>
  <w:style w:type="paragraph" w:styleId="7">
    <w:name w:val="footer"/>
    <w:basedOn w:val="1"/>
    <w:link w:val="15"/>
    <w:uiPriority w:val="0"/>
    <w:pPr>
      <w:tabs>
        <w:tab w:val="center" w:pos="4153"/>
        <w:tab w:val="right" w:pos="8306"/>
      </w:tabs>
      <w:snapToGrid w:val="0"/>
      <w:jc w:val="left"/>
    </w:pPr>
    <w:rPr>
      <w:sz w:val="18"/>
      <w:szCs w:val="18"/>
    </w:rPr>
  </w:style>
  <w:style w:type="paragraph" w:styleId="8">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paragraph" w:customStyle="1" w:styleId="13">
    <w:name w:val="Table Paragraph"/>
    <w:basedOn w:val="1"/>
    <w:qFormat/>
    <w:uiPriority w:val="1"/>
    <w:rPr>
      <w:rFonts w:ascii="宋体" w:hAnsi="宋体" w:eastAsia="宋体" w:cs="宋体"/>
      <w:lang w:val="zh-CN" w:bidi="zh-CN"/>
    </w:rPr>
  </w:style>
  <w:style w:type="character" w:customStyle="1" w:styleId="14">
    <w:name w:val="页眉 Char"/>
    <w:basedOn w:val="11"/>
    <w:link w:val="8"/>
    <w:uiPriority w:val="0"/>
    <w:rPr>
      <w:rFonts w:asciiTheme="minorHAnsi" w:hAnsiTheme="minorHAnsi" w:eastAsiaTheme="minorEastAsia" w:cstheme="minorBidi"/>
      <w:kern w:val="2"/>
      <w:sz w:val="18"/>
      <w:szCs w:val="18"/>
    </w:rPr>
  </w:style>
  <w:style w:type="character" w:customStyle="1" w:styleId="15">
    <w:name w:val="页脚 Char"/>
    <w:basedOn w:val="11"/>
    <w:link w:val="7"/>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34"/>
    <w:pPr>
      <w:ind w:firstLine="420" w:firstLineChars="200"/>
    </w:pPr>
  </w:style>
  <w:style w:type="paragraph" w:customStyle="1" w:styleId="17">
    <w:name w:val="样式3"/>
    <w:basedOn w:val="6"/>
    <w:uiPriority w:val="0"/>
    <w:pPr>
      <w:spacing w:line="240" w:lineRule="atLeast"/>
      <w:outlineLvl w:val="0"/>
    </w:pPr>
    <w:rPr>
      <w:rFonts w:cs="Times New Roman"/>
      <w:sz w:val="28"/>
      <w:szCs w:val="20"/>
    </w:rPr>
  </w:style>
  <w:style w:type="character" w:customStyle="1" w:styleId="18">
    <w:name w:val="纯文本 Char"/>
    <w:basedOn w:val="11"/>
    <w:link w:val="6"/>
    <w:qFormat/>
    <w:uiPriority w:val="0"/>
    <w:rPr>
      <w:rFonts w:ascii="宋体" w:hAnsi="Courier New" w:cs="Courier New"/>
      <w:kern w:val="2"/>
      <w:sz w:val="21"/>
      <w:szCs w:val="21"/>
    </w:rPr>
  </w:style>
  <w:style w:type="character" w:customStyle="1" w:styleId="19">
    <w:name w:val="标题 1 Char"/>
    <w:basedOn w:val="11"/>
    <w:link w:val="3"/>
    <w:uiPriority w:val="0"/>
    <w:rPr>
      <w:rFonts w:asciiTheme="minorHAnsi" w:hAnsiTheme="minorHAnsi" w:eastAsiaTheme="minorEastAsia" w:cstheme="minorBidi"/>
      <w:b/>
      <w:bCs/>
      <w:kern w:val="44"/>
      <w:sz w:val="44"/>
      <w:szCs w:val="44"/>
    </w:rPr>
  </w:style>
  <w:style w:type="paragraph" w:customStyle="1" w:styleId="20">
    <w:name w:val="Table Text"/>
    <w:basedOn w:val="1"/>
    <w:semiHidden/>
    <w:qFormat/>
    <w:uiPriority w:val="0"/>
    <w:pPr>
      <w:widowControl/>
      <w:kinsoku w:val="0"/>
      <w:autoSpaceDE w:val="0"/>
      <w:autoSpaceDN w:val="0"/>
      <w:adjustRightInd w:val="0"/>
      <w:snapToGrid w:val="0"/>
      <w:jc w:val="left"/>
    </w:pPr>
    <w:rPr>
      <w:rFonts w:ascii="宋体" w:hAnsi="宋体" w:eastAsia="宋体" w:cs="宋体"/>
      <w:color w:val="000000"/>
      <w:kern w:val="0"/>
      <w:sz w:val="20"/>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1946</Words>
  <Characters>2041</Characters>
  <Lines>15</Lines>
  <Paragraphs>4</Paragraphs>
  <TotalTime>0</TotalTime>
  <ScaleCrop>false</ScaleCrop>
  <LinksUpToDate>false</LinksUpToDate>
  <CharactersWithSpaces>2051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2024-08-05T03:11:00Z</dcterms:created>
  <dc:creator>Administrator</dc:creator>
  <cp:lastModifiedBy>周跃军</cp:lastModifiedBy>
  <cp:lastPrinted>2024-11-19T06:29:00Z</cp:lastPrinted>
  <dcterms:modified xsi:type="dcterms:W3CDTF">2025-01-07T05:20:45Z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9FFC687C51B541FE813D6749E553FD29_12</vt:lpwstr>
  </property>
  <property fmtid="{D5CDD505-2E9C-101B-9397-08002B2CF9AE}" pid="4" name="KSOTemplateDocerSaveRecord">
    <vt:lpwstr>eyJoZGlkIjoiY2M5YjAyYmQ1NDhkYWMzNGNmMDFlNTUyZmY5OWIzZDEiLCJ1c2VySWQiOiI1MTQ5NzgxMDEifQ==</vt:lpwstr>
  </property>
</Properties>
</file>