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6769B"/>
    <w:p w14:paraId="2BCCB967">
      <w:pPr>
        <w:adjustRightInd w:val="0"/>
        <w:snapToGrid w:val="0"/>
        <w:jc w:val="center"/>
        <w:rPr>
          <w:rFonts w:ascii="方正小标宋简体" w:hAnsi="方正小标宋简体" w:eastAsia="方正小标宋简体" w:cs="方正小标宋简体"/>
          <w:sz w:val="44"/>
          <w:szCs w:val="44"/>
        </w:rPr>
      </w:pPr>
      <w:bookmarkStart w:id="0" w:name="downLoadzbwj"/>
      <w:bookmarkEnd w:id="0"/>
      <w:r>
        <w:rPr>
          <w:rFonts w:hint="eastAsia" w:ascii="方正小标宋简体" w:hAnsi="方正小标宋简体" w:eastAsia="方正小标宋简体" w:cs="方正小标宋简体"/>
          <w:sz w:val="44"/>
          <w:szCs w:val="44"/>
        </w:rPr>
        <w:t xml:space="preserve"> 大庆市人民医院16排CT球管采购</w:t>
      </w:r>
      <w:r>
        <w:rPr>
          <w:rFonts w:hint="eastAsia" w:ascii="方正小标宋简体" w:hAnsi="方正小标宋简体" w:eastAsia="方正小标宋简体" w:cs="方正小标宋简体"/>
          <w:sz w:val="44"/>
          <w:szCs w:val="44"/>
          <w:lang w:val="en-US" w:eastAsia="zh-CN"/>
        </w:rPr>
        <w:t>项目</w:t>
      </w:r>
      <w:r>
        <w:rPr>
          <w:rFonts w:hint="eastAsia" w:ascii="方正小标宋简体" w:hAnsi="方正小标宋简体" w:eastAsia="方正小标宋简体" w:cs="方正小标宋简体"/>
          <w:sz w:val="44"/>
          <w:szCs w:val="44"/>
        </w:rPr>
        <w:t>采购公告</w:t>
      </w:r>
    </w:p>
    <w:p w14:paraId="1E07026B">
      <w:pPr>
        <w:rPr>
          <w:rFonts w:ascii="黑体" w:hAnsi="黑体" w:eastAsia="黑体" w:cs="黑体"/>
          <w:sz w:val="32"/>
          <w:szCs w:val="32"/>
        </w:rPr>
      </w:pPr>
    </w:p>
    <w:p w14:paraId="5D272547">
      <w:pPr>
        <w:rPr>
          <w:rFonts w:ascii="黑体" w:hAnsi="黑体" w:eastAsia="黑体" w:cs="黑体"/>
          <w:sz w:val="32"/>
          <w:szCs w:val="32"/>
        </w:rPr>
      </w:pPr>
      <w:r>
        <w:rPr>
          <w:rFonts w:hint="eastAsia" w:ascii="黑体" w:hAnsi="黑体" w:eastAsia="黑体" w:cs="黑体"/>
          <w:sz w:val="32"/>
          <w:szCs w:val="32"/>
        </w:rPr>
        <w:t>一、项目基本情况</w:t>
      </w:r>
    </w:p>
    <w:p w14:paraId="43AD4E66">
      <w:pPr>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sz w:val="32"/>
          <w:szCs w:val="32"/>
        </w:rPr>
        <w:t>项目编号</w:t>
      </w:r>
      <w:r>
        <w:rPr>
          <w:rFonts w:hint="eastAsia" w:ascii="仿宋_GB2312" w:hAnsi="仿宋_GB2312" w:eastAsia="仿宋_GB2312" w:cs="仿宋_GB2312"/>
          <w:b/>
          <w:bCs/>
          <w:color w:val="000000" w:themeColor="text1"/>
          <w:sz w:val="32"/>
          <w:szCs w:val="32"/>
        </w:rPr>
        <w:t>：</w:t>
      </w:r>
    </w:p>
    <w:p w14:paraId="1D4E0012">
      <w:pPr>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项目名称：</w:t>
      </w:r>
      <w:r>
        <w:rPr>
          <w:rFonts w:hint="eastAsia" w:ascii="仿宋_GB2312" w:hAnsi="仿宋_GB2312" w:eastAsia="仿宋_GB2312" w:cs="仿宋_GB2312"/>
          <w:color w:val="000000" w:themeColor="text1"/>
          <w:sz w:val="32"/>
          <w:szCs w:val="32"/>
        </w:rPr>
        <w:t>16排CT球管采购</w:t>
      </w:r>
    </w:p>
    <w:p w14:paraId="2B5C4784">
      <w:pPr>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采购方式：</w:t>
      </w:r>
      <w:r>
        <w:rPr>
          <w:rFonts w:hint="eastAsia" w:ascii="仿宋_GB2312" w:hAnsi="仿宋_GB2312" w:eastAsia="仿宋_GB2312" w:cs="仿宋_GB2312"/>
          <w:color w:val="000000" w:themeColor="text1"/>
          <w:sz w:val="32"/>
          <w:szCs w:val="32"/>
        </w:rPr>
        <w:t>竞争性谈判</w:t>
      </w:r>
    </w:p>
    <w:p w14:paraId="17186E82">
      <w:pPr>
        <w:ind w:firstLine="643" w:firstLineChars="200"/>
        <w:rPr>
          <w:rFonts w:ascii="黑体" w:hAnsi="黑体" w:eastAsia="黑体" w:cs="黑体"/>
          <w:color w:val="000000" w:themeColor="text1"/>
          <w:sz w:val="32"/>
          <w:szCs w:val="32"/>
        </w:rPr>
      </w:pPr>
      <w:r>
        <w:rPr>
          <w:rFonts w:hint="eastAsia" w:ascii="仿宋_GB2312" w:hAnsi="仿宋_GB2312" w:eastAsia="仿宋_GB2312" w:cs="仿宋_GB2312"/>
          <w:b/>
          <w:bCs/>
          <w:color w:val="000000" w:themeColor="text1"/>
          <w:sz w:val="32"/>
          <w:szCs w:val="32"/>
        </w:rPr>
        <w:t>采购需求</w:t>
      </w:r>
      <w:r>
        <w:rPr>
          <w:rFonts w:hint="eastAsia" w:ascii="黑体" w:hAnsi="黑体" w:eastAsia="黑体" w:cs="黑体"/>
          <w:color w:val="000000" w:themeColor="text1"/>
          <w:sz w:val="32"/>
          <w:szCs w:val="32"/>
        </w:rPr>
        <w:t>：</w:t>
      </w:r>
    </w:p>
    <w:tbl>
      <w:tblPr>
        <w:tblStyle w:val="8"/>
        <w:tblpPr w:leftFromText="180" w:rightFromText="180" w:vertAnchor="text" w:horzAnchor="page" w:tblpXSpec="center" w:tblpY="375"/>
        <w:tblOverlap w:val="never"/>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247"/>
        <w:gridCol w:w="1247"/>
        <w:gridCol w:w="1247"/>
        <w:gridCol w:w="1247"/>
        <w:gridCol w:w="1247"/>
        <w:gridCol w:w="1247"/>
        <w:gridCol w:w="1247"/>
      </w:tblGrid>
      <w:tr w14:paraId="5BDDE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59" w:type="dxa"/>
            <w:noWrap/>
            <w:vAlign w:val="center"/>
          </w:tcPr>
          <w:p w14:paraId="5E113584">
            <w:pPr>
              <w:jc w:val="center"/>
              <w:rPr>
                <w:rFonts w:ascii="黑体" w:hAnsi="黑体" w:eastAsia="黑体" w:cs="黑体"/>
                <w:sz w:val="24"/>
              </w:rPr>
            </w:pPr>
            <w:r>
              <w:rPr>
                <w:rFonts w:hint="eastAsia" w:ascii="黑体" w:hAnsi="黑体" w:eastAsia="黑体" w:cs="黑体"/>
                <w:sz w:val="24"/>
              </w:rPr>
              <w:t>合同包</w:t>
            </w:r>
          </w:p>
        </w:tc>
        <w:tc>
          <w:tcPr>
            <w:tcW w:w="1247" w:type="dxa"/>
            <w:noWrap/>
            <w:vAlign w:val="center"/>
          </w:tcPr>
          <w:p w14:paraId="3F1B0857">
            <w:pPr>
              <w:jc w:val="center"/>
              <w:rPr>
                <w:rFonts w:ascii="黑体" w:hAnsi="黑体" w:eastAsia="黑体" w:cs="黑体"/>
                <w:sz w:val="24"/>
              </w:rPr>
            </w:pPr>
            <w:r>
              <w:rPr>
                <w:rFonts w:hint="eastAsia" w:ascii="黑体" w:hAnsi="黑体" w:eastAsia="黑体" w:cs="黑体"/>
                <w:sz w:val="24"/>
              </w:rPr>
              <w:t>采购项目</w:t>
            </w:r>
          </w:p>
        </w:tc>
        <w:tc>
          <w:tcPr>
            <w:tcW w:w="1247" w:type="dxa"/>
            <w:noWrap/>
            <w:vAlign w:val="center"/>
          </w:tcPr>
          <w:p w14:paraId="30B792B8">
            <w:pPr>
              <w:jc w:val="center"/>
              <w:rPr>
                <w:rFonts w:ascii="黑体" w:hAnsi="黑体" w:eastAsia="黑体" w:cs="黑体"/>
                <w:sz w:val="24"/>
              </w:rPr>
            </w:pPr>
            <w:r>
              <w:rPr>
                <w:rFonts w:hint="eastAsia" w:ascii="黑体" w:hAnsi="黑体" w:eastAsia="黑体" w:cs="黑体"/>
                <w:sz w:val="24"/>
              </w:rPr>
              <w:t>使用科室</w:t>
            </w:r>
          </w:p>
        </w:tc>
        <w:tc>
          <w:tcPr>
            <w:tcW w:w="1247" w:type="dxa"/>
            <w:noWrap/>
            <w:vAlign w:val="center"/>
          </w:tcPr>
          <w:p w14:paraId="08FB8200">
            <w:pPr>
              <w:jc w:val="center"/>
              <w:rPr>
                <w:rFonts w:ascii="黑体" w:hAnsi="黑体" w:eastAsia="黑体" w:cs="黑体"/>
                <w:sz w:val="24"/>
              </w:rPr>
            </w:pPr>
            <w:r>
              <w:rPr>
                <w:rFonts w:hint="eastAsia" w:ascii="黑体" w:hAnsi="黑体" w:eastAsia="黑体" w:cs="黑体"/>
                <w:sz w:val="24"/>
              </w:rPr>
              <w:t>预算单价（万元）</w:t>
            </w:r>
          </w:p>
        </w:tc>
        <w:tc>
          <w:tcPr>
            <w:tcW w:w="1247" w:type="dxa"/>
            <w:noWrap/>
            <w:vAlign w:val="center"/>
          </w:tcPr>
          <w:p w14:paraId="53C09407">
            <w:pPr>
              <w:jc w:val="center"/>
              <w:rPr>
                <w:rFonts w:ascii="黑体" w:hAnsi="黑体" w:eastAsia="黑体" w:cs="黑体"/>
                <w:sz w:val="24"/>
              </w:rPr>
            </w:pPr>
            <w:r>
              <w:rPr>
                <w:rFonts w:hint="eastAsia" w:ascii="黑体" w:hAnsi="黑体" w:eastAsia="黑体" w:cs="黑体"/>
                <w:sz w:val="24"/>
              </w:rPr>
              <w:t>数量</w:t>
            </w:r>
          </w:p>
          <w:p w14:paraId="092335E1">
            <w:pPr>
              <w:jc w:val="center"/>
              <w:rPr>
                <w:rFonts w:ascii="黑体" w:hAnsi="黑体" w:eastAsia="黑体" w:cs="黑体"/>
                <w:sz w:val="24"/>
              </w:rPr>
            </w:pPr>
            <w:r>
              <w:rPr>
                <w:rFonts w:hint="eastAsia" w:ascii="黑体" w:hAnsi="黑体" w:eastAsia="黑体" w:cs="黑体"/>
                <w:sz w:val="24"/>
              </w:rPr>
              <w:t>（单位）</w:t>
            </w:r>
          </w:p>
        </w:tc>
        <w:tc>
          <w:tcPr>
            <w:tcW w:w="1247" w:type="dxa"/>
            <w:noWrap/>
            <w:vAlign w:val="center"/>
          </w:tcPr>
          <w:p w14:paraId="3E49F70B">
            <w:pPr>
              <w:jc w:val="center"/>
              <w:rPr>
                <w:rFonts w:ascii="黑体" w:hAnsi="黑体" w:eastAsia="黑体" w:cs="黑体"/>
                <w:sz w:val="24"/>
              </w:rPr>
            </w:pPr>
            <w:r>
              <w:rPr>
                <w:rFonts w:hint="eastAsia" w:ascii="黑体" w:hAnsi="黑体" w:eastAsia="黑体" w:cs="黑体"/>
                <w:sz w:val="24"/>
              </w:rPr>
              <w:t>预算总价</w:t>
            </w:r>
          </w:p>
          <w:p w14:paraId="2E06F1D2">
            <w:pPr>
              <w:jc w:val="center"/>
              <w:rPr>
                <w:rFonts w:ascii="黑体" w:hAnsi="黑体" w:eastAsia="黑体" w:cs="黑体"/>
                <w:sz w:val="24"/>
              </w:rPr>
            </w:pPr>
            <w:r>
              <w:rPr>
                <w:rFonts w:hint="eastAsia" w:ascii="黑体" w:hAnsi="黑体" w:eastAsia="黑体" w:cs="黑体"/>
                <w:sz w:val="24"/>
              </w:rPr>
              <w:t>（万元）</w:t>
            </w:r>
          </w:p>
        </w:tc>
        <w:tc>
          <w:tcPr>
            <w:tcW w:w="1247" w:type="dxa"/>
            <w:noWrap/>
            <w:vAlign w:val="center"/>
          </w:tcPr>
          <w:p w14:paraId="0D30B7A0">
            <w:pPr>
              <w:jc w:val="center"/>
              <w:rPr>
                <w:rFonts w:ascii="黑体" w:hAnsi="黑体" w:eastAsia="黑体" w:cs="黑体"/>
                <w:sz w:val="24"/>
              </w:rPr>
            </w:pPr>
            <w:r>
              <w:rPr>
                <w:rFonts w:hint="eastAsia" w:ascii="宋体" w:hAnsi="宋体" w:eastAsia="宋体" w:cs="宋体"/>
                <w:b/>
                <w:bCs/>
                <w:color w:val="222222"/>
                <w:sz w:val="24"/>
                <w:shd w:val="clear" w:color="auto" w:fill="FFFFFF"/>
              </w:rPr>
              <w:t>技术规格、参数及要求</w:t>
            </w:r>
          </w:p>
        </w:tc>
        <w:tc>
          <w:tcPr>
            <w:tcW w:w="1247" w:type="dxa"/>
            <w:noWrap/>
            <w:vAlign w:val="center"/>
          </w:tcPr>
          <w:p w14:paraId="7203DC80">
            <w:pPr>
              <w:jc w:val="center"/>
              <w:rPr>
                <w:rFonts w:ascii="黑体" w:hAnsi="黑体" w:eastAsia="黑体" w:cs="黑体"/>
                <w:sz w:val="24"/>
              </w:rPr>
            </w:pPr>
            <w:r>
              <w:rPr>
                <w:rFonts w:hint="eastAsia" w:ascii="黑体" w:hAnsi="黑体" w:eastAsia="黑体" w:cs="黑体"/>
                <w:sz w:val="24"/>
              </w:rPr>
              <w:t>备注</w:t>
            </w:r>
          </w:p>
        </w:tc>
      </w:tr>
      <w:tr w14:paraId="6F0E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59" w:type="dxa"/>
            <w:noWrap/>
            <w:vAlign w:val="center"/>
          </w:tcPr>
          <w:p w14:paraId="60AA6A6D">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247" w:type="dxa"/>
            <w:noWrap/>
            <w:vAlign w:val="center"/>
          </w:tcPr>
          <w:p w14:paraId="6CB34FA0">
            <w:pPr>
              <w:jc w:val="center"/>
              <w:rPr>
                <w:rFonts w:ascii="仿宋_GB2312" w:hAnsi="仿宋_GB2312" w:eastAsia="仿宋_GB2312" w:cs="仿宋_GB2312"/>
                <w:sz w:val="24"/>
              </w:rPr>
            </w:pPr>
            <w:bookmarkStart w:id="1" w:name="OLE_LINK10"/>
            <w:bookmarkStart w:id="2" w:name="OLE_LINK13"/>
            <w:bookmarkStart w:id="3" w:name="OLE_LINK11"/>
            <w:r>
              <w:rPr>
                <w:rFonts w:hint="eastAsia" w:ascii="仿宋_GB2312" w:hAnsi="仿宋_GB2312" w:eastAsia="仿宋_GB2312" w:cs="仿宋_GB2312"/>
                <w:sz w:val="24"/>
              </w:rPr>
              <w:t>16排CT球管采购</w:t>
            </w:r>
            <w:bookmarkEnd w:id="1"/>
            <w:bookmarkEnd w:id="2"/>
            <w:bookmarkEnd w:id="3"/>
          </w:p>
        </w:tc>
        <w:tc>
          <w:tcPr>
            <w:tcW w:w="1247" w:type="dxa"/>
            <w:noWrap/>
            <w:vAlign w:val="center"/>
          </w:tcPr>
          <w:p w14:paraId="69F0BE9C">
            <w:pPr>
              <w:jc w:val="center"/>
              <w:rPr>
                <w:rFonts w:ascii="仿宋_GB2312" w:hAnsi="仿宋_GB2312" w:eastAsia="仿宋_GB2312" w:cs="仿宋_GB2312"/>
                <w:sz w:val="24"/>
              </w:rPr>
            </w:pPr>
            <w:r>
              <w:rPr>
                <w:rFonts w:hint="eastAsia" w:ascii="仿宋_GB2312" w:hAnsi="仿宋_GB2312" w:eastAsia="仿宋_GB2312" w:cs="仿宋_GB2312"/>
                <w:sz w:val="24"/>
              </w:rPr>
              <w:t>CT室</w:t>
            </w:r>
          </w:p>
        </w:tc>
        <w:tc>
          <w:tcPr>
            <w:tcW w:w="1247" w:type="dxa"/>
            <w:noWrap/>
            <w:vAlign w:val="center"/>
          </w:tcPr>
          <w:p w14:paraId="5BDAD150">
            <w:pPr>
              <w:jc w:val="center"/>
              <w:rPr>
                <w:rFonts w:ascii="仿宋_GB2312" w:hAnsi="仿宋_GB2312" w:eastAsia="仿宋_GB2312" w:cs="仿宋_GB2312"/>
                <w:sz w:val="24"/>
              </w:rPr>
            </w:pPr>
            <w:r>
              <w:rPr>
                <w:rFonts w:hint="eastAsia" w:ascii="仿宋_GB2312" w:hAnsi="仿宋_GB2312" w:eastAsia="仿宋_GB2312" w:cs="仿宋_GB2312"/>
                <w:sz w:val="24"/>
              </w:rPr>
              <w:t>59.5</w:t>
            </w:r>
          </w:p>
        </w:tc>
        <w:tc>
          <w:tcPr>
            <w:tcW w:w="1247" w:type="dxa"/>
            <w:noWrap/>
            <w:vAlign w:val="center"/>
          </w:tcPr>
          <w:p w14:paraId="1690AC56">
            <w:pPr>
              <w:jc w:val="center"/>
              <w:rPr>
                <w:rFonts w:ascii="仿宋_GB2312" w:hAnsi="仿宋_GB2312" w:eastAsia="仿宋_GB2312" w:cs="仿宋_GB2312"/>
                <w:sz w:val="24"/>
              </w:rPr>
            </w:pPr>
            <w:r>
              <w:rPr>
                <w:rFonts w:hint="eastAsia" w:ascii="仿宋_GB2312" w:hAnsi="仿宋_GB2312" w:eastAsia="仿宋_GB2312" w:cs="仿宋_GB2312"/>
                <w:sz w:val="24"/>
              </w:rPr>
              <w:t>1（项）</w:t>
            </w:r>
          </w:p>
        </w:tc>
        <w:tc>
          <w:tcPr>
            <w:tcW w:w="1247" w:type="dxa"/>
            <w:noWrap/>
            <w:vAlign w:val="center"/>
          </w:tcPr>
          <w:p w14:paraId="272EB772">
            <w:pPr>
              <w:jc w:val="center"/>
              <w:rPr>
                <w:rFonts w:ascii="仿宋_GB2312" w:hAnsi="仿宋_GB2312" w:eastAsia="仿宋_GB2312" w:cs="仿宋_GB2312"/>
                <w:sz w:val="24"/>
              </w:rPr>
            </w:pPr>
            <w:r>
              <w:rPr>
                <w:rFonts w:hint="eastAsia" w:ascii="仿宋_GB2312" w:hAnsi="仿宋_GB2312" w:eastAsia="仿宋_GB2312" w:cs="仿宋_GB2312"/>
                <w:sz w:val="24"/>
              </w:rPr>
              <w:t>59.5</w:t>
            </w:r>
          </w:p>
        </w:tc>
        <w:tc>
          <w:tcPr>
            <w:tcW w:w="1247" w:type="dxa"/>
            <w:noWrap/>
            <w:vAlign w:val="center"/>
          </w:tcPr>
          <w:p w14:paraId="29986C63">
            <w:pPr>
              <w:jc w:val="center"/>
              <w:rPr>
                <w:rFonts w:ascii="仿宋_GB2312" w:hAnsi="仿宋_GB2312" w:eastAsia="仿宋_GB2312" w:cs="仿宋_GB2312"/>
                <w:sz w:val="24"/>
              </w:rPr>
            </w:pPr>
            <w:r>
              <w:rPr>
                <w:rFonts w:hint="eastAsia" w:ascii="仿宋_GB2312" w:hAnsi="仿宋_GB2312" w:eastAsia="仿宋_GB2312" w:cs="仿宋_GB2312"/>
                <w:sz w:val="24"/>
              </w:rPr>
              <w:t>详见附件</w:t>
            </w:r>
          </w:p>
        </w:tc>
        <w:tc>
          <w:tcPr>
            <w:tcW w:w="1247" w:type="dxa"/>
            <w:noWrap/>
            <w:vAlign w:val="center"/>
          </w:tcPr>
          <w:p w14:paraId="5869B780">
            <w:pPr>
              <w:jc w:val="center"/>
              <w:rPr>
                <w:rFonts w:ascii="仿宋_GB2312" w:hAnsi="仿宋_GB2312" w:eastAsia="仿宋_GB2312" w:cs="仿宋_GB2312"/>
                <w:sz w:val="24"/>
              </w:rPr>
            </w:pPr>
            <w:r>
              <w:rPr>
                <w:rFonts w:hint="eastAsia" w:ascii="仿宋_GB2312" w:hAnsi="仿宋_GB2312" w:eastAsia="仿宋_GB2312" w:cs="仿宋_GB2312"/>
                <w:sz w:val="24"/>
              </w:rPr>
              <w:t>第一次公示</w:t>
            </w:r>
          </w:p>
        </w:tc>
      </w:tr>
    </w:tbl>
    <w:p w14:paraId="088A9007">
      <w:pPr>
        <w:rPr>
          <w:rFonts w:ascii="宋体" w:hAnsi="宋体" w:eastAsia="宋体" w:cs="宋体"/>
          <w:color w:val="222222"/>
          <w:sz w:val="24"/>
          <w:shd w:val="clear" w:color="auto" w:fill="FFFFFF"/>
        </w:rPr>
      </w:pPr>
    </w:p>
    <w:p w14:paraId="7797C947">
      <w:pPr>
        <w:ind w:firstLine="480" w:firstLineChars="200"/>
        <w:rPr>
          <w:rFonts w:ascii="宋体" w:hAnsi="宋体" w:eastAsia="宋体" w:cs="宋体"/>
          <w:color w:val="222222"/>
          <w:sz w:val="24"/>
          <w:shd w:val="clear" w:color="auto" w:fill="FFFFFF"/>
        </w:rPr>
      </w:pPr>
    </w:p>
    <w:p w14:paraId="243DF746">
      <w:pPr>
        <w:ind w:firstLine="640" w:firstLineChars="200"/>
        <w:rPr>
          <w:rFonts w:ascii="黑体" w:hAnsi="黑体" w:eastAsia="黑体" w:cs="黑体"/>
          <w:sz w:val="32"/>
          <w:szCs w:val="32"/>
        </w:rPr>
      </w:pPr>
      <w:r>
        <w:rPr>
          <w:rFonts w:hint="eastAsia" w:ascii="黑体" w:hAnsi="黑体" w:eastAsia="黑体" w:cs="黑体"/>
          <w:sz w:val="32"/>
          <w:szCs w:val="32"/>
        </w:rPr>
        <w:t>二、资格要求</w:t>
      </w:r>
    </w:p>
    <w:p w14:paraId="7EE6C2DA">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（一）满足《中华人民共和国政府采购法》第二十二条规定。</w:t>
      </w:r>
    </w:p>
    <w:p w14:paraId="0BE561A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14:paraId="108B889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w:t>
      </w:r>
    </w:p>
    <w:p w14:paraId="288CB56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3.具有履行合同所必需的设备和专业技术能力；</w:t>
      </w:r>
    </w:p>
    <w:p w14:paraId="501D37D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4.有依法缴纳税收和社会保障资金的良好记录；</w:t>
      </w:r>
    </w:p>
    <w:p w14:paraId="6CCFAF4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5.参加政府采购活动前三年内，在经营活动中没有重大违法记录；</w:t>
      </w:r>
    </w:p>
    <w:p w14:paraId="58D18F6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6.法律、行政法规规定的其他条件。</w:t>
      </w:r>
    </w:p>
    <w:p w14:paraId="554A5449">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（二）本项目不允许联合体投标。</w:t>
      </w:r>
    </w:p>
    <w:p w14:paraId="56B5AD01">
      <w:pPr>
        <w:ind w:firstLine="640" w:firstLineChars="200"/>
        <w:rPr>
          <w:rFonts w:ascii="黑体" w:hAnsi="黑体" w:eastAsia="黑体" w:cs="黑体"/>
          <w:sz w:val="32"/>
          <w:szCs w:val="32"/>
        </w:rPr>
      </w:pPr>
      <w:r>
        <w:rPr>
          <w:rFonts w:hint="eastAsia" w:ascii="黑体" w:hAnsi="黑体" w:eastAsia="黑体" w:cs="黑体"/>
          <w:sz w:val="32"/>
          <w:szCs w:val="32"/>
        </w:rPr>
        <w:t>三、 商务要求</w:t>
      </w:r>
    </w:p>
    <w:p w14:paraId="379B3E7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1.合同履约期限（到货期限）及付款：合同签订后10日历天甲方收到球管，球管更换后30个日历天内支付合同全款。</w:t>
      </w:r>
    </w:p>
    <w:p w14:paraId="5DA55D5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2.质保期：球管曝光次数小于5000秒次，供应商应免费更换一支新球管；曝光次数大于或等于5000小于10万秒次，则按比例保修。</w:t>
      </w:r>
    </w:p>
    <w:p w14:paraId="54066E53">
      <w:pPr>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3.中标价格为税后价格。</w:t>
      </w:r>
    </w:p>
    <w:p w14:paraId="35501DA9">
      <w:pPr>
        <w:ind w:firstLine="640" w:firstLineChars="200"/>
        <w:rPr>
          <w:rFonts w:ascii="黑体" w:hAnsi="黑体" w:eastAsia="黑体" w:cs="黑体"/>
          <w:sz w:val="32"/>
          <w:szCs w:val="32"/>
        </w:rPr>
      </w:pPr>
      <w:r>
        <w:rPr>
          <w:rFonts w:hint="eastAsia" w:ascii="黑体" w:hAnsi="黑体" w:eastAsia="黑体" w:cs="黑体"/>
          <w:sz w:val="32"/>
          <w:szCs w:val="32"/>
        </w:rPr>
        <w:t>四、其他要求</w:t>
      </w:r>
    </w:p>
    <w:p w14:paraId="5609736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满足条件的潜在供应商标书内应提供以下资料扫描件（必须加盖公章，如缺少其中一项则取消参评资格）。</w:t>
      </w:r>
    </w:p>
    <w:p w14:paraId="61AAA2C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（一）产品报价明细。本项目潜在供应商报价不能超过采购预算金额，超过预算金额视为无效报价。</w:t>
      </w:r>
    </w:p>
    <w:p w14:paraId="63FECF2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（二）潜在供应商需提供投标资料承诺书，保证投标资料真实性、有效性。</w:t>
      </w:r>
    </w:p>
    <w:p w14:paraId="1F887E5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（三）根据实际情况勾选《大庆市人民医院采购供应商资格承诺函》并签字盖章，详见附件。</w:t>
      </w:r>
    </w:p>
    <w:p w14:paraId="495A34A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（四）技术规格、参数及要求偏离表。</w:t>
      </w:r>
    </w:p>
    <w:p w14:paraId="7ED7DBD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（五）售后服务承诺书及质量保证协议。</w:t>
      </w:r>
    </w:p>
    <w:p w14:paraId="4BBFB73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提供近三年内（本项目投标截止期前）①未被“信用中国网站”列入失信被执行人、重大税收违法案件当事人名单的；②未被“中国政府采购网”列入政府采购严重违法失信行为记录名单（处罚期限尚未届满的）的证明。</w:t>
      </w:r>
    </w:p>
    <w:p w14:paraId="3E27430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（七）社保经办机构出具的</w:t>
      </w:r>
      <w:r>
        <w:rPr>
          <w:rFonts w:ascii="Times New Roman" w:hAnsi="Times New Roman" w:eastAsia="仿宋_GB2312" w:cs="Times New Roman"/>
          <w:sz w:val="32"/>
          <w:szCs w:val="32"/>
        </w:rPr>
        <w:t>本单位职工</w:t>
      </w:r>
      <w:r>
        <w:rPr>
          <w:rFonts w:hint="eastAsia" w:ascii="仿宋_GB2312" w:hAnsi="仿宋_GB2312" w:eastAsia="仿宋_GB2312" w:cs="仿宋_GB2312"/>
          <w:sz w:val="32"/>
          <w:szCs w:val="32"/>
        </w:rPr>
        <w:t xml:space="preserve">社会保障资金缴纳证明。 </w:t>
      </w:r>
    </w:p>
    <w:p w14:paraId="61E66B3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1.基本养老保险缴纳证明或基本养老保险缴费清单。</w:t>
      </w:r>
    </w:p>
    <w:p w14:paraId="60A339F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2.基本医疗保险缴纳证明或基本医疗保险缴费清单。</w:t>
      </w:r>
    </w:p>
    <w:p w14:paraId="732CFF21">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工伤保险缴纳证明或工伤保险缴费清单。</w:t>
      </w:r>
    </w:p>
    <w:p w14:paraId="09925544">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失业保险缴纳证明或失业保险缴费清单。</w:t>
      </w:r>
    </w:p>
    <w:p w14:paraId="50AEF8C3">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生育保险缴纳证明或生育保险缴费清单。</w:t>
      </w:r>
    </w:p>
    <w:p w14:paraId="5AE6292A">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hint="eastAsia" w:ascii="仿宋_GB2312" w:hAnsi="仿宋_GB2312" w:eastAsia="仿宋_GB2312" w:cs="仿宋_GB2312"/>
          <w:sz w:val="32"/>
          <w:szCs w:val="32"/>
        </w:rPr>
        <w:t>新成立的企业（三个月内成立的）或在法规范围内不需提</w:t>
      </w:r>
      <w:r>
        <w:rPr>
          <w:rFonts w:hint="eastAsia" w:ascii="Times New Roman" w:hAnsi="Times New Roman" w:eastAsia="仿宋_GB2312" w:cs="Times New Roman"/>
          <w:sz w:val="32"/>
          <w:szCs w:val="32"/>
        </w:rPr>
        <w:t>供的机构，应提供书面说明和有关佐证文件。</w:t>
      </w:r>
    </w:p>
    <w:p w14:paraId="4171522D">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7.关于依法缴纳社会保障资金的证明材料的说明： 本项目采购文件中所称“社保经办机构”是指：《社会保险经办条例》（中华人民共和国国务院令第765号）第六十条中“社会保险经办机构”，即人力资源社会保障行政部门所属的经办基本养老保险、工伤保险、失业保险等社会保险的机构和医疗保障行政部门所属的经办基本医疗保险、生育保险等社会保险的机构。</w:t>
      </w:r>
    </w:p>
    <w:p w14:paraId="4BEB7675">
      <w:pPr>
        <w:ind w:firstLine="64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税务部门出具的佐证文件（如完税证明）不作为有效资格条件。</w:t>
      </w:r>
    </w:p>
    <w:p w14:paraId="55D1A36D">
      <w:pPr>
        <w:ind w:firstLine="640" w:firstLineChars="200"/>
        <w:rPr>
          <w:rFonts w:ascii="黑体" w:hAnsi="黑体" w:eastAsia="黑体" w:cs="黑体"/>
          <w:sz w:val="32"/>
          <w:szCs w:val="32"/>
        </w:rPr>
      </w:pPr>
      <w:r>
        <w:rPr>
          <w:rFonts w:hint="eastAsia" w:ascii="黑体" w:hAnsi="黑体" w:eastAsia="黑体" w:cs="黑体"/>
          <w:sz w:val="32"/>
          <w:szCs w:val="32"/>
        </w:rPr>
        <w:t>五、投标文件要求</w:t>
      </w:r>
    </w:p>
    <w:p w14:paraId="0726811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（一）标书要求：一本正本、三本副本均加盖公章，装订方式为胶装。</w:t>
      </w:r>
    </w:p>
    <w:p w14:paraId="4F034F5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（二）参与两项或以上采购项目投标的需各项目独立做标书。</w:t>
      </w:r>
    </w:p>
    <w:p w14:paraId="2364585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（三）标书封面须有以下内容：</w:t>
      </w:r>
    </w:p>
    <w:p w14:paraId="27E2265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1.正本或副本标识；</w:t>
      </w:r>
    </w:p>
    <w:p w14:paraId="3846802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2.投标项目名称及项目编号；</w:t>
      </w:r>
    </w:p>
    <w:p w14:paraId="74B5F66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3.投标单位名称；</w:t>
      </w:r>
    </w:p>
    <w:p w14:paraId="0ACD0B5B">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4.投标公司联系人及联系方式；</w:t>
      </w:r>
    </w:p>
    <w:p w14:paraId="3DFD507A">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5.投标日期。</w:t>
      </w:r>
    </w:p>
    <w:p w14:paraId="5891BDF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（四）标书内需含目录并与页码相对应。</w:t>
      </w:r>
    </w:p>
    <w:p w14:paraId="460F43E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（五）投标文件需进行密封，开标现场递交。投标文件一律不退，请投标方自留底稿。</w:t>
      </w:r>
    </w:p>
    <w:p w14:paraId="3A8D3BC2">
      <w:pPr>
        <w:ind w:firstLine="640" w:firstLineChars="200"/>
        <w:rPr>
          <w:rFonts w:ascii="黑体" w:hAnsi="黑体" w:eastAsia="黑体" w:cs="黑体"/>
          <w:sz w:val="32"/>
          <w:szCs w:val="32"/>
        </w:rPr>
      </w:pPr>
      <w:r>
        <w:rPr>
          <w:rFonts w:hint="eastAsia" w:ascii="黑体" w:hAnsi="黑体" w:eastAsia="黑体" w:cs="黑体"/>
          <w:sz w:val="32"/>
          <w:szCs w:val="32"/>
        </w:rPr>
        <w:t>六、报名须知</w:t>
      </w:r>
    </w:p>
    <w:p w14:paraId="451DADE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（一）报名时间：2024年12月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日起至2024年1月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日（法定节假日除外）。</w:t>
      </w:r>
    </w:p>
    <w:p w14:paraId="001B37E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（二）开标时间及地点：</w:t>
      </w:r>
      <w:r>
        <w:rPr>
          <w:rFonts w:hint="eastAsia" w:ascii="仿宋_GB2312" w:hAnsi="仿宋_GB2312" w:eastAsia="仿宋_GB2312" w:cs="仿宋_GB2312"/>
          <w:sz w:val="32"/>
          <w:szCs w:val="32"/>
          <w:lang w:val="en-US" w:eastAsia="zh-CN"/>
        </w:rPr>
        <w:t>1月3</w:t>
      </w:r>
      <w:bookmarkStart w:id="4" w:name="_GoBack"/>
      <w:bookmarkEnd w:id="4"/>
      <w:r>
        <w:rPr>
          <w:rFonts w:hint="eastAsia" w:ascii="仿宋_GB2312" w:hAnsi="仿宋_GB2312" w:eastAsia="仿宋_GB2312" w:cs="仿宋_GB2312"/>
          <w:sz w:val="32"/>
          <w:szCs w:val="32"/>
          <w:lang w:val="en-US" w:eastAsia="zh-CN"/>
        </w:rPr>
        <w:t>日下午1：30，机关四楼学术报告厅</w:t>
      </w:r>
      <w:r>
        <w:rPr>
          <w:rFonts w:hint="eastAsia" w:ascii="仿宋_GB2312" w:hAnsi="仿宋_GB2312" w:eastAsia="仿宋_GB2312" w:cs="仿宋_GB2312"/>
          <w:sz w:val="32"/>
          <w:szCs w:val="32"/>
        </w:rPr>
        <w:t>。</w:t>
      </w:r>
    </w:p>
    <w:p w14:paraId="47FDAD5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（三）投标代表（法人或法人授权人）请在开标时间前半小时携带身份证到达会场签到（签到时查验身份证件）。</w:t>
      </w:r>
    </w:p>
    <w:p w14:paraId="07EFDA4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（四）联系电话：0459-6612937</w:t>
      </w:r>
    </w:p>
    <w:p w14:paraId="7A730323">
      <w:pPr>
        <w:pStyle w:val="2"/>
        <w:rPr>
          <w:rFonts w:hint="eastAsia"/>
        </w:rPr>
      </w:pPr>
    </w:p>
    <w:p w14:paraId="0E08DC4E">
      <w:pPr>
        <w:pStyle w:val="2"/>
        <w:rPr>
          <w:rFonts w:hint="eastAsia"/>
        </w:rPr>
      </w:pPr>
    </w:p>
    <w:p w14:paraId="1F26ECDB">
      <w:pPr>
        <w:rPr>
          <w:rFonts w:ascii="仿宋" w:hAnsi="仿宋" w:eastAsia="仿宋" w:cs="仿宋"/>
          <w:sz w:val="30"/>
          <w:szCs w:val="30"/>
        </w:rPr>
      </w:pPr>
      <w:r>
        <w:rPr>
          <w:rFonts w:hint="eastAsia" w:ascii="仿宋" w:hAnsi="仿宋" w:eastAsia="仿宋" w:cs="仿宋"/>
          <w:sz w:val="30"/>
          <w:szCs w:val="30"/>
        </w:rPr>
        <w:t>附件1：</w:t>
      </w:r>
    </w:p>
    <w:p w14:paraId="504C63F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 16排CT球管采购</w:t>
      </w:r>
    </w:p>
    <w:p w14:paraId="4237965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具体参数要求：</w:t>
      </w:r>
    </w:p>
    <w:p w14:paraId="361BCB7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球管型号：CXB-400C</w:t>
      </w:r>
    </w:p>
    <w:p w14:paraId="010F4DC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2．最大热容量：4.0 MHU； </w:t>
      </w:r>
    </w:p>
    <w:p w14:paraId="19C756C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3．焦点尺寸mm(双焦点)： </w:t>
      </w:r>
    </w:p>
    <w:p w14:paraId="452349A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小焦点：0.9×0.7mm  </w:t>
      </w:r>
    </w:p>
    <w:p w14:paraId="79313C5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大焦点：1.4×1.4mm； </w:t>
      </w:r>
    </w:p>
    <w:p w14:paraId="43FAD30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4．最大峰值输入电压：135KV，直流； </w:t>
      </w:r>
    </w:p>
    <w:p w14:paraId="694D121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5．最大负载因子：    135 KV，400mA； </w:t>
      </w:r>
    </w:p>
    <w:p w14:paraId="3C3CABE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6．阳极最大冷却率：  864kHU/min； </w:t>
      </w:r>
    </w:p>
    <w:p w14:paraId="445DEDB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7．管套最大冷却率：  340kHU/min； </w:t>
      </w:r>
    </w:p>
    <w:p w14:paraId="44F7A3B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8．冷却方式：        油冷 </w:t>
      </w:r>
    </w:p>
    <w:p w14:paraId="1DD26FB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9．油路冷却系统输入电压：200V 交流；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5YjAyYmQ1NDhkYWMzNGNmMDFlNTUyZmY5OWIzZDEifQ=="/>
  </w:docVars>
  <w:rsids>
    <w:rsidRoot w:val="00472E50"/>
    <w:rsid w:val="00472E50"/>
    <w:rsid w:val="005214EA"/>
    <w:rsid w:val="006157EC"/>
    <w:rsid w:val="00ED3403"/>
    <w:rsid w:val="00F83FB2"/>
    <w:rsid w:val="07040F79"/>
    <w:rsid w:val="0D7A11E1"/>
    <w:rsid w:val="12DB7938"/>
    <w:rsid w:val="20783067"/>
    <w:rsid w:val="224E1EED"/>
    <w:rsid w:val="27781B9E"/>
    <w:rsid w:val="30751371"/>
    <w:rsid w:val="3B4F1692"/>
    <w:rsid w:val="3D5B796E"/>
    <w:rsid w:val="4B471C88"/>
    <w:rsid w:val="4EEC05F8"/>
    <w:rsid w:val="52BE437E"/>
    <w:rsid w:val="61BF2CAB"/>
    <w:rsid w:val="6B264A3A"/>
    <w:rsid w:val="71945A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4">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paragraph" w:customStyle="1" w:styleId="11">
    <w:name w:val="Table Paragraph"/>
    <w:basedOn w:val="1"/>
    <w:qFormat/>
    <w:uiPriority w:val="1"/>
    <w:rPr>
      <w:rFonts w:ascii="宋体" w:hAnsi="宋体" w:eastAsia="宋体" w:cs="宋体"/>
      <w:lang w:val="zh-CN" w:bidi="zh-CN"/>
    </w:rPr>
  </w:style>
  <w:style w:type="character" w:customStyle="1" w:styleId="12">
    <w:name w:val="页眉 Char"/>
    <w:basedOn w:val="9"/>
    <w:link w:val="6"/>
    <w:uiPriority w:val="0"/>
    <w:rPr>
      <w:rFonts w:asciiTheme="minorHAnsi" w:hAnsiTheme="minorHAnsi" w:eastAsiaTheme="minorEastAsia" w:cstheme="minorBidi"/>
      <w:kern w:val="2"/>
      <w:sz w:val="18"/>
      <w:szCs w:val="18"/>
    </w:rPr>
  </w:style>
  <w:style w:type="character" w:customStyle="1" w:styleId="13">
    <w:name w:val="页脚 Char"/>
    <w:basedOn w:val="9"/>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1556</Words>
  <Characters>1681</Characters>
  <Lines>12</Lines>
  <Paragraphs>3</Paragraphs>
  <TotalTime>6</TotalTime>
  <ScaleCrop>false</ScaleCrop>
  <LinksUpToDate>false</LinksUpToDate>
  <CharactersWithSpaces>1716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2024-08-05T03:11:00Z</dcterms:created>
  <dc:creator>Administrator</dc:creator>
  <cp:lastModifiedBy>周跃军</cp:lastModifiedBy>
  <cp:lastPrinted>2024-11-19T06:29:00Z</cp:lastPrinted>
  <dcterms:modified xsi:type="dcterms:W3CDTF">2024-12-29T08:03:23Z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9FFC687C51B541FE813D6749E553FD29_12</vt:lpwstr>
  </property>
  <property fmtid="{D5CDD505-2E9C-101B-9397-08002B2CF9AE}" pid="4" name="KSOTemplateDocerSaveRecord">
    <vt:lpwstr>eyJoZGlkIjoiY2M5YjAyYmQ1NDhkYWMzNGNmMDFlNTUyZmY5OWIzZDEiLCJ1c2VySWQiOiI1MTQ5NzgxMDEifQ==</vt:lpwstr>
  </property>
</Properties>
</file>