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80FB30">
      <w:pPr>
        <w:rPr>
          <w:rFonts w:hint="eastAsia" w:ascii="仿宋" w:hAnsi="仿宋" w:eastAsia="仿宋" w:cs="仿宋"/>
          <w:sz w:val="32"/>
          <w:szCs w:val="32"/>
        </w:rPr>
      </w:pPr>
      <w:bookmarkStart w:id="0" w:name="_GoBack"/>
      <w:r>
        <w:rPr>
          <w:rStyle w:val="12"/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附件3、</w:t>
      </w:r>
      <w:r>
        <w:rPr>
          <w:rStyle w:val="12"/>
          <w:rFonts w:hint="eastAsia" w:ascii="仿宋" w:hAnsi="仿宋" w:eastAsia="仿宋" w:cs="仿宋"/>
          <w:kern w:val="0"/>
          <w:sz w:val="32"/>
          <w:szCs w:val="32"/>
        </w:rPr>
        <w:t>内镜</w:t>
      </w:r>
      <w:r>
        <w:rPr>
          <w:rStyle w:val="12"/>
          <w:rFonts w:hint="eastAsia" w:ascii="仿宋" w:hAnsi="仿宋" w:eastAsia="仿宋" w:cs="仿宋"/>
          <w:kern w:val="0"/>
          <w:sz w:val="32"/>
          <w:szCs w:val="32"/>
        </w:rPr>
        <w:t>吊塔招标参数</w:t>
      </w:r>
      <w:r>
        <w:rPr>
          <w:rStyle w:val="12"/>
          <w:rFonts w:hint="eastAsia" w:ascii="仿宋" w:hAnsi="仿宋" w:eastAsia="仿宋" w:cs="仿宋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</w:rPr>
        <w:t>用于内镜中心</w:t>
      </w:r>
      <w:r>
        <w:rPr>
          <w:rStyle w:val="12"/>
          <w:rFonts w:hint="eastAsia" w:ascii="仿宋" w:hAnsi="仿宋" w:eastAsia="仿宋" w:cs="仿宋"/>
          <w:kern w:val="0"/>
          <w:sz w:val="32"/>
          <w:szCs w:val="32"/>
          <w:lang w:eastAsia="zh-CN"/>
        </w:rPr>
        <w:t>）</w:t>
      </w:r>
      <w:bookmarkEnd w:id="0"/>
    </w:p>
    <w:p w14:paraId="28BE4FDF">
      <w:pPr>
        <w:rPr>
          <w:rFonts w:hint="eastAsia"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*</w:t>
      </w:r>
      <w:r>
        <w:rPr>
          <w:rFonts w:ascii="Times New Roman" w:hAnsi="Times New Roman" w:eastAsia="仿宋_GB2312" w:cs="Times New Roman"/>
          <w:sz w:val="28"/>
          <w:szCs w:val="28"/>
        </w:rPr>
        <w:t>1、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吊塔主体材料为高强度铝合金型材</w:t>
      </w:r>
    </w:p>
    <w:p w14:paraId="1846060D">
      <w:pPr>
        <w:numPr>
          <w:ilvl w:val="0"/>
          <w:numId w:val="0"/>
        </w:numPr>
        <w:ind w:left="560" w:hanging="560" w:hangingChars="200"/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2、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吊塔主体表面采用优质环保抗菌涂层静电喷涂，具有抑制细菌再生的作用，抑菌性能参照JIS Z 2801标准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耐擦易清洁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.</w:t>
      </w:r>
    </w:p>
    <w:p w14:paraId="5E25ED05">
      <w:pPr>
        <w:ind w:left="560" w:hanging="560" w:hanging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*3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、吊塔转轴可在300 kg负载下可连续旋转10万次，保证吊塔长久平稳运行；（提供具有检测资质的第三方机构出具的检测报告）</w:t>
      </w:r>
    </w:p>
    <w:p w14:paraId="6E04B437">
      <w:pPr>
        <w:ind w:left="560" w:hanging="560" w:hanging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*4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、吊塔预埋支架垂直载荷≥</w:t>
      </w:r>
      <w:r>
        <w:rPr>
          <w:rFonts w:ascii="Times New Roman" w:hAnsi="Times New Roman" w:eastAsia="仿宋_GB2312" w:cs="Times New Roman"/>
          <w:sz w:val="28"/>
          <w:szCs w:val="28"/>
        </w:rPr>
        <w:t>1800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kg，扭矩≥9</w:t>
      </w:r>
      <w:r>
        <w:rPr>
          <w:rFonts w:ascii="Times New Roman" w:hAnsi="Times New Roman" w:eastAsia="仿宋_GB2312" w:cs="Times New Roman"/>
          <w:sz w:val="28"/>
          <w:szCs w:val="28"/>
        </w:rPr>
        <w:t>2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00N.m，保证吊塔使用时不会出现倾斜偏移现象；（提供具有检测资质的第三方机构出具的检测报告）</w:t>
      </w:r>
    </w:p>
    <w:p w14:paraId="534E2C2A">
      <w:pPr>
        <w:ind w:left="560" w:hanging="560" w:hanging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5</w:t>
      </w:r>
      <w:r>
        <w:rPr>
          <w:rFonts w:ascii="Times New Roman" w:hAnsi="Times New Roman" w:eastAsia="仿宋_GB2312" w:cs="Times New Roman"/>
          <w:sz w:val="28"/>
          <w:szCs w:val="28"/>
        </w:rPr>
        <w:t>、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悬臂最大承载不小于</w:t>
      </w:r>
      <w:r>
        <w:rPr>
          <w:rFonts w:ascii="Times New Roman" w:hAnsi="Times New Roman" w:eastAsia="仿宋_GB2312" w:cs="Times New Roman"/>
          <w:sz w:val="28"/>
          <w:szCs w:val="28"/>
        </w:rPr>
        <w:t>300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kg，符合四倍安全承载系数；（提供第三方机构出具的检测报告）</w:t>
      </w:r>
    </w:p>
    <w:p w14:paraId="33DB29ED">
      <w:pPr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、气体管路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为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医疗专用橡胶软管，符合ISO5359</w:t>
      </w:r>
      <w:r>
        <w:rPr>
          <w:rFonts w:ascii="Times New Roman" w:hAnsi="Times New Roman" w:eastAsia="仿宋_GB2312" w:cs="Times New Roman"/>
          <w:sz w:val="28"/>
          <w:szCs w:val="28"/>
        </w:rPr>
        <w:t>-20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14标准；</w:t>
      </w:r>
    </w:p>
    <w:p w14:paraId="2DBC1870">
      <w:pPr>
        <w:ind w:left="560" w:hanging="560" w:hanging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*</w:t>
      </w:r>
      <w:r>
        <w:rPr>
          <w:rFonts w:ascii="Times New Roman" w:hAnsi="Times New Roman" w:eastAsia="仿宋_GB2312" w:cs="Times New Roman"/>
          <w:sz w:val="28"/>
          <w:szCs w:val="28"/>
        </w:rPr>
        <w:t xml:space="preserve"> 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7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、托盘为铝合金6</w:t>
      </w:r>
      <w:r>
        <w:rPr>
          <w:rFonts w:ascii="Times New Roman" w:hAnsi="Times New Roman" w:eastAsia="仿宋_GB2312" w:cs="Times New Roman"/>
          <w:sz w:val="28"/>
          <w:szCs w:val="28"/>
        </w:rPr>
        <w:t>0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63材质</w:t>
      </w:r>
      <w:r>
        <w:rPr>
          <w:rFonts w:ascii="Times New Roman" w:hAnsi="Times New Roman" w:eastAsia="仿宋_GB2312" w:cs="Times New Roman"/>
          <w:sz w:val="28"/>
          <w:szCs w:val="28"/>
        </w:rPr>
        <w:t>，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六腔式结构一体压铸成型，无拼接缝隙，</w:t>
      </w:r>
      <w:r>
        <w:rPr>
          <w:rFonts w:ascii="Times New Roman" w:hAnsi="Times New Roman" w:eastAsia="仿宋_GB2312" w:cs="Times New Roman"/>
          <w:sz w:val="28"/>
          <w:szCs w:val="28"/>
        </w:rPr>
        <w:t>具有高承载性能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，最大承载≥1</w:t>
      </w:r>
      <w:r>
        <w:rPr>
          <w:rFonts w:ascii="Times New Roman" w:hAnsi="Times New Roman" w:eastAsia="仿宋_GB2312" w:cs="Times New Roman"/>
          <w:sz w:val="28"/>
          <w:szCs w:val="28"/>
        </w:rPr>
        <w:t>10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kg，符合四倍承载安全系数；托盘整体厚度≥2</w:t>
      </w:r>
      <w:r>
        <w:rPr>
          <w:rFonts w:ascii="Times New Roman" w:hAnsi="Times New Roman" w:eastAsia="仿宋_GB2312" w:cs="Times New Roman"/>
          <w:sz w:val="28"/>
          <w:szCs w:val="28"/>
        </w:rPr>
        <w:t>8mm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，</w:t>
      </w:r>
      <w:r>
        <w:rPr>
          <w:rFonts w:ascii="Times New Roman" w:hAnsi="Times New Roman" w:eastAsia="仿宋_GB2312" w:cs="Times New Roman"/>
          <w:sz w:val="28"/>
          <w:szCs w:val="28"/>
        </w:rPr>
        <w:t>壁厚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≥</w:t>
      </w:r>
      <w:r>
        <w:rPr>
          <w:rFonts w:ascii="Times New Roman" w:hAnsi="Times New Roman" w:eastAsia="仿宋_GB2312" w:cs="Times New Roman"/>
          <w:sz w:val="28"/>
          <w:szCs w:val="28"/>
        </w:rPr>
        <w:t>3mm</w:t>
      </w:r>
    </w:p>
    <w:p w14:paraId="783CDC69">
      <w:pPr>
        <w:ind w:left="280" w:hanging="280" w:hangingChars="1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8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、医用吊塔配置有四层托盘，托盘尺寸完全匹配内镜设备，有防脱落及防撞设计；</w:t>
      </w:r>
    </w:p>
    <w:p w14:paraId="624E7371">
      <w:pPr>
        <w:ind w:left="560" w:hanging="560" w:hanging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*</w:t>
      </w:r>
      <w:r>
        <w:rPr>
          <w:rFonts w:ascii="Times New Roman" w:hAnsi="Times New Roman" w:eastAsia="仿宋_GB2312" w:cs="Times New Roman"/>
          <w:sz w:val="28"/>
          <w:szCs w:val="28"/>
        </w:rPr>
        <w:t xml:space="preserve"> 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9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、气体终端、电源插座等均可完全隐藏在吊塔箱体内部，有线缆管理模块，辅助医护人员梳理线路，避免线缆凌乱；</w:t>
      </w:r>
    </w:p>
    <w:p w14:paraId="4E046434">
      <w:pPr>
        <w:ind w:left="560" w:hanging="560" w:hanging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*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1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0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、配置内镜挂架，可悬挂2条软镜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以上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，挂架可拆下进行清洗、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消毒；配置阻尼式关节转动臂，可轻松定位调节位置</w:t>
      </w:r>
    </w:p>
    <w:p w14:paraId="04B8832B">
      <w:pPr>
        <w:ind w:left="560" w:hanging="560" w:hanging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1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、监视器上下调节角度-45°~+45°，可升降调节高度≥1000mm；监视器调节灵活，可调节到操作人员最舒适的位置</w:t>
      </w:r>
    </w:p>
    <w:p w14:paraId="7106B173">
      <w:pPr>
        <w:ind w:left="560" w:hanging="560" w:hangingChars="200"/>
        <w:rPr>
          <w:rFonts w:hint="eastAsia" w:ascii="Times New Roman" w:hAnsi="Times New Roman" w:eastAsia="仿宋_GB2312" w:cs="Times New Roman"/>
          <w:sz w:val="28"/>
          <w:szCs w:val="28"/>
        </w:rPr>
      </w:pPr>
      <w:r>
        <w:rPr>
          <w:rFonts w:hint="eastAsia" w:ascii="Segoe UI Symbol" w:hAnsi="Segoe UI Symbol" w:eastAsia="仿宋_GB2312" w:cs="Segoe UI Symbol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12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抽屉为钢制抽屉，</w:t>
      </w:r>
      <w:r>
        <w:rPr>
          <w:rFonts w:ascii="Times New Roman" w:hAnsi="Times New Roman" w:eastAsia="仿宋_GB2312" w:cs="Times New Roman"/>
          <w:sz w:val="28"/>
          <w:szCs w:val="28"/>
        </w:rPr>
        <w:t>禁止使用PVC及塑料材质，保证经久耐用，采用自吸式标准导轨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，安装于仪器平台底部，最大承载≥</w:t>
      </w:r>
      <w:r>
        <w:rPr>
          <w:rFonts w:ascii="Times New Roman" w:hAnsi="Times New Roman" w:eastAsia="仿宋_GB2312" w:cs="Times New Roman"/>
          <w:sz w:val="28"/>
          <w:szCs w:val="28"/>
        </w:rPr>
        <w:t>15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kg，符合四倍承载安全系数</w:t>
      </w:r>
    </w:p>
    <w:p w14:paraId="11A7D6CE">
      <w:pPr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13</w:t>
      </w:r>
      <w:r>
        <w:rPr>
          <w:rFonts w:ascii="Times New Roman" w:hAnsi="Times New Roman" w:eastAsia="仿宋_GB2312" w:cs="Times New Roman"/>
          <w:sz w:val="28"/>
          <w:szCs w:val="28"/>
        </w:rPr>
        <w:t>、气源电源内置，可选择预留电刀专用电源；</w:t>
      </w:r>
    </w:p>
    <w:p w14:paraId="77903ECB">
      <w:pPr>
        <w:ind w:left="560" w:hanging="560" w:hanging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Segoe UI Symbol" w:hAnsi="Segoe UI Symbol" w:eastAsia="仿宋_GB2312" w:cs="Segoe UI Symbol"/>
          <w:sz w:val="28"/>
          <w:szCs w:val="28"/>
          <w:lang w:val="en-US" w:eastAsia="zh-CN"/>
        </w:rPr>
        <w:t>*14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、吊塔外壳涂膜附着力参照ISO2409:2013测试方法，附着力达到等级0，防止发生感控风险；医用吊塔外壳参照ISO9227:20</w:t>
      </w:r>
      <w:r>
        <w:rPr>
          <w:rFonts w:ascii="Times New Roman" w:hAnsi="Times New Roman" w:eastAsia="仿宋_GB2312" w:cs="Times New Roman"/>
          <w:sz w:val="28"/>
          <w:szCs w:val="28"/>
        </w:rPr>
        <w:t>22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标准进行中性盐酸试验，长期使用防止发生腐蚀现象（提供具有检测资质的第三方机构出具的检测报告）</w:t>
      </w:r>
    </w:p>
    <w:p w14:paraId="5FB1177A">
      <w:pPr>
        <w:jc w:val="left"/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hint="eastAsia" w:ascii="Times New Roman" w:hAnsi="Times New Roman" w:eastAsia="仿宋_GB2312" w:cs="Times New Roman"/>
          <w:b/>
          <w:sz w:val="28"/>
          <w:szCs w:val="28"/>
          <w:lang w:eastAsia="zh-CN"/>
        </w:rPr>
        <w:t>四</w:t>
      </w:r>
      <w:r>
        <w:rPr>
          <w:rFonts w:hint="eastAsia" w:ascii="Times New Roman" w:hAnsi="Times New Roman" w:eastAsia="仿宋_GB2312" w:cs="Times New Roman"/>
          <w:b/>
          <w:sz w:val="28"/>
          <w:szCs w:val="28"/>
        </w:rPr>
        <w:t>、</w:t>
      </w:r>
      <w:r>
        <w:rPr>
          <w:rFonts w:ascii="Times New Roman" w:hAnsi="Times New Roman" w:eastAsia="仿宋_GB2312" w:cs="Times New Roman"/>
          <w:b/>
          <w:sz w:val="28"/>
          <w:szCs w:val="28"/>
        </w:rPr>
        <w:t>配置清单：</w:t>
      </w:r>
      <w:r>
        <w:rPr>
          <w:rFonts w:ascii="Times New Roman" w:hAnsi="Times New Roman" w:eastAsia="仿宋_GB2312" w:cs="Times New Roman"/>
          <w:sz w:val="28"/>
          <w:szCs w:val="28"/>
        </w:rPr>
        <w:t>内镜塔配置清单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992"/>
        <w:gridCol w:w="3260"/>
        <w:gridCol w:w="4270"/>
      </w:tblGrid>
      <w:tr w14:paraId="5D323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92" w:type="dxa"/>
          </w:tcPr>
          <w:p w14:paraId="71E77DCE">
            <w:pPr>
              <w:pStyle w:val="4"/>
              <w:jc w:val="center"/>
            </w:pPr>
            <w:r>
              <w:rPr>
                <w:rFonts w:eastAsia="仿宋_GB2312"/>
                <w:b/>
                <w:sz w:val="24"/>
                <w:szCs w:val="24"/>
              </w:rPr>
              <w:t>序号</w:t>
            </w:r>
          </w:p>
        </w:tc>
        <w:tc>
          <w:tcPr>
            <w:tcW w:w="3260" w:type="dxa"/>
          </w:tcPr>
          <w:p w14:paraId="5FBAD196">
            <w:pPr>
              <w:pStyle w:val="4"/>
              <w:jc w:val="center"/>
            </w:pPr>
            <w:r>
              <w:rPr>
                <w:rFonts w:eastAsia="仿宋_GB2312"/>
                <w:b/>
                <w:sz w:val="24"/>
                <w:szCs w:val="24"/>
              </w:rPr>
              <w:t>名称</w:t>
            </w:r>
          </w:p>
        </w:tc>
        <w:tc>
          <w:tcPr>
            <w:tcW w:w="4270" w:type="dxa"/>
          </w:tcPr>
          <w:p w14:paraId="0AB47F0C">
            <w:pPr>
              <w:pStyle w:val="4"/>
              <w:jc w:val="center"/>
            </w:pPr>
            <w:r>
              <w:rPr>
                <w:rFonts w:eastAsia="仿宋_GB2312"/>
                <w:b/>
                <w:sz w:val="24"/>
                <w:szCs w:val="24"/>
              </w:rPr>
              <w:t>数量</w:t>
            </w:r>
          </w:p>
        </w:tc>
      </w:tr>
      <w:tr w14:paraId="4144F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92" w:type="dxa"/>
          </w:tcPr>
          <w:p w14:paraId="4C19D9BB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C8D3DE6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进口气体终端</w:t>
            </w:r>
          </w:p>
        </w:tc>
        <w:tc>
          <w:tcPr>
            <w:tcW w:w="4270" w:type="dxa"/>
          </w:tcPr>
          <w:p w14:paraId="5A433A61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2氧气、2负压、1空气、1二氧化碳</w:t>
            </w:r>
          </w:p>
        </w:tc>
      </w:tr>
      <w:tr w14:paraId="3FAE1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92" w:type="dxa"/>
          </w:tcPr>
          <w:p w14:paraId="2F390AEB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14:paraId="564D9EAD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电源插座</w:t>
            </w:r>
          </w:p>
        </w:tc>
        <w:tc>
          <w:tcPr>
            <w:tcW w:w="4270" w:type="dxa"/>
          </w:tcPr>
          <w:p w14:paraId="4F5772CE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8个</w:t>
            </w:r>
          </w:p>
        </w:tc>
      </w:tr>
      <w:tr w14:paraId="2D462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92" w:type="dxa"/>
          </w:tcPr>
          <w:p w14:paraId="48334C4D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14:paraId="4C179B28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网口</w:t>
            </w:r>
          </w:p>
        </w:tc>
        <w:tc>
          <w:tcPr>
            <w:tcW w:w="4270" w:type="dxa"/>
          </w:tcPr>
          <w:p w14:paraId="312B6337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2个</w:t>
            </w:r>
          </w:p>
        </w:tc>
      </w:tr>
      <w:tr w14:paraId="6BAE5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92" w:type="dxa"/>
          </w:tcPr>
          <w:p w14:paraId="391296E3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14:paraId="02136201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视频接口</w:t>
            </w:r>
          </w:p>
        </w:tc>
        <w:tc>
          <w:tcPr>
            <w:tcW w:w="4270" w:type="dxa"/>
          </w:tcPr>
          <w:p w14:paraId="4350C8B4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2个</w:t>
            </w:r>
          </w:p>
        </w:tc>
      </w:tr>
      <w:tr w14:paraId="07023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92" w:type="dxa"/>
          </w:tcPr>
          <w:p w14:paraId="43F6102E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14:paraId="714D5CC8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接地端子</w:t>
            </w:r>
          </w:p>
        </w:tc>
        <w:tc>
          <w:tcPr>
            <w:tcW w:w="4270" w:type="dxa"/>
          </w:tcPr>
          <w:p w14:paraId="0D3B3628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2个</w:t>
            </w:r>
          </w:p>
        </w:tc>
      </w:tr>
      <w:tr w14:paraId="2385F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92" w:type="dxa"/>
          </w:tcPr>
          <w:p w14:paraId="2B52A465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14:paraId="087E737B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进口气体管路</w:t>
            </w:r>
          </w:p>
        </w:tc>
        <w:tc>
          <w:tcPr>
            <w:tcW w:w="4270" w:type="dxa"/>
          </w:tcPr>
          <w:p w14:paraId="54C000AD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氧气5m、负压5m、空气5m、二氧化碳5m</w:t>
            </w:r>
          </w:p>
        </w:tc>
      </w:tr>
      <w:tr w14:paraId="6961D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92" w:type="dxa"/>
          </w:tcPr>
          <w:p w14:paraId="56C65F67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14:paraId="075A22D6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进口平面推力轴承（AXK155）</w:t>
            </w:r>
          </w:p>
        </w:tc>
        <w:tc>
          <w:tcPr>
            <w:tcW w:w="4270" w:type="dxa"/>
          </w:tcPr>
          <w:p w14:paraId="4E2B6684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4套</w:t>
            </w:r>
          </w:p>
        </w:tc>
      </w:tr>
      <w:tr w14:paraId="359DE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92" w:type="dxa"/>
          </w:tcPr>
          <w:p w14:paraId="7198474E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14:paraId="0BBE0D59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进口平面推力轴承（AXK145）</w:t>
            </w:r>
          </w:p>
        </w:tc>
        <w:tc>
          <w:tcPr>
            <w:tcW w:w="4270" w:type="dxa"/>
          </w:tcPr>
          <w:p w14:paraId="76185832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2套</w:t>
            </w:r>
          </w:p>
        </w:tc>
      </w:tr>
      <w:tr w14:paraId="14E4A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92" w:type="dxa"/>
          </w:tcPr>
          <w:p w14:paraId="790B830A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14:paraId="1C0BA0EF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托盘</w:t>
            </w:r>
          </w:p>
        </w:tc>
        <w:tc>
          <w:tcPr>
            <w:tcW w:w="4270" w:type="dxa"/>
          </w:tcPr>
          <w:p w14:paraId="7BAFA178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4层</w:t>
            </w:r>
          </w:p>
        </w:tc>
      </w:tr>
      <w:tr w14:paraId="05CCC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92" w:type="dxa"/>
          </w:tcPr>
          <w:p w14:paraId="2E21A02A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14:paraId="7F3581FE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双悬臂</w:t>
            </w:r>
          </w:p>
        </w:tc>
        <w:tc>
          <w:tcPr>
            <w:tcW w:w="4270" w:type="dxa"/>
          </w:tcPr>
          <w:p w14:paraId="4BC62007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1套（600+600mm）</w:t>
            </w:r>
          </w:p>
        </w:tc>
      </w:tr>
      <w:tr w14:paraId="04475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92" w:type="dxa"/>
          </w:tcPr>
          <w:p w14:paraId="4BB0E32F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14:paraId="3B1169CF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自吸式抽屉</w:t>
            </w:r>
          </w:p>
        </w:tc>
        <w:tc>
          <w:tcPr>
            <w:tcW w:w="4270" w:type="dxa"/>
          </w:tcPr>
          <w:p w14:paraId="444F6919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1套</w:t>
            </w:r>
          </w:p>
        </w:tc>
      </w:tr>
      <w:tr w14:paraId="142C1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92" w:type="dxa"/>
          </w:tcPr>
          <w:p w14:paraId="7C700294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14:paraId="6D3CC2AA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双关节延展臂</w:t>
            </w:r>
          </w:p>
        </w:tc>
        <w:tc>
          <w:tcPr>
            <w:tcW w:w="4270" w:type="dxa"/>
          </w:tcPr>
          <w:p w14:paraId="35539880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1套</w:t>
            </w:r>
          </w:p>
        </w:tc>
      </w:tr>
      <w:tr w14:paraId="7E4DF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92" w:type="dxa"/>
          </w:tcPr>
          <w:p w14:paraId="0CF37B93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14:paraId="04D1F938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内窥镜支架</w:t>
            </w:r>
          </w:p>
        </w:tc>
        <w:tc>
          <w:tcPr>
            <w:tcW w:w="4270" w:type="dxa"/>
          </w:tcPr>
          <w:p w14:paraId="7ECAAEDE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1套</w:t>
            </w:r>
          </w:p>
        </w:tc>
      </w:tr>
      <w:tr w14:paraId="35A43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92" w:type="dxa"/>
          </w:tcPr>
          <w:p w14:paraId="6CBF8E8C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14:paraId="3FB8C27E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不锈钢网篮</w:t>
            </w:r>
          </w:p>
        </w:tc>
        <w:tc>
          <w:tcPr>
            <w:tcW w:w="4270" w:type="dxa"/>
          </w:tcPr>
          <w:p w14:paraId="3FBF5C7A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1个</w:t>
            </w:r>
          </w:p>
        </w:tc>
      </w:tr>
      <w:tr w14:paraId="47334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92" w:type="dxa"/>
          </w:tcPr>
          <w:p w14:paraId="06302F69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15</w:t>
            </w:r>
          </w:p>
        </w:tc>
        <w:tc>
          <w:tcPr>
            <w:tcW w:w="3260" w:type="dxa"/>
          </w:tcPr>
          <w:p w14:paraId="2A61C2F3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光源接头托架</w:t>
            </w:r>
          </w:p>
        </w:tc>
        <w:tc>
          <w:tcPr>
            <w:tcW w:w="4270" w:type="dxa"/>
          </w:tcPr>
          <w:p w14:paraId="1409635E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1套</w:t>
            </w:r>
          </w:p>
        </w:tc>
      </w:tr>
      <w:tr w14:paraId="55324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92" w:type="dxa"/>
          </w:tcPr>
          <w:p w14:paraId="643C1662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16</w:t>
            </w:r>
          </w:p>
        </w:tc>
        <w:tc>
          <w:tcPr>
            <w:tcW w:w="3260" w:type="dxa"/>
          </w:tcPr>
          <w:p w14:paraId="14DCC477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单臂旋转体</w:t>
            </w:r>
          </w:p>
        </w:tc>
        <w:tc>
          <w:tcPr>
            <w:tcW w:w="4270" w:type="dxa"/>
          </w:tcPr>
          <w:p w14:paraId="49182E84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1套</w:t>
            </w:r>
          </w:p>
        </w:tc>
      </w:tr>
      <w:tr w14:paraId="01E2A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92" w:type="dxa"/>
          </w:tcPr>
          <w:p w14:paraId="1C333FE0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17</w:t>
            </w:r>
          </w:p>
        </w:tc>
        <w:tc>
          <w:tcPr>
            <w:tcW w:w="3260" w:type="dxa"/>
          </w:tcPr>
          <w:p w14:paraId="625B4572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平衡臂</w:t>
            </w:r>
          </w:p>
        </w:tc>
        <w:tc>
          <w:tcPr>
            <w:tcW w:w="4270" w:type="dxa"/>
          </w:tcPr>
          <w:p w14:paraId="5F0BC554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1套（AC2000）</w:t>
            </w:r>
          </w:p>
        </w:tc>
      </w:tr>
      <w:tr w14:paraId="7F55D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92" w:type="dxa"/>
          </w:tcPr>
          <w:p w14:paraId="488EA1D8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18</w:t>
            </w:r>
          </w:p>
        </w:tc>
        <w:tc>
          <w:tcPr>
            <w:tcW w:w="3260" w:type="dxa"/>
          </w:tcPr>
          <w:p w14:paraId="2CD6C0B7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单监视器挂架</w:t>
            </w:r>
          </w:p>
        </w:tc>
        <w:tc>
          <w:tcPr>
            <w:tcW w:w="4270" w:type="dxa"/>
          </w:tcPr>
          <w:p w14:paraId="23476E52">
            <w:pPr>
              <w:pStyle w:val="4"/>
              <w:jc w:val="center"/>
            </w:pPr>
            <w:r>
              <w:rPr>
                <w:rFonts w:eastAsia="仿宋_GB2312"/>
                <w:sz w:val="24"/>
                <w:szCs w:val="24"/>
              </w:rPr>
              <w:t>1套（26寸）</w:t>
            </w:r>
          </w:p>
        </w:tc>
      </w:tr>
    </w:tbl>
    <w:p w14:paraId="3E07905D">
      <w:pPr>
        <w:rPr>
          <w:rFonts w:ascii="Times New Roman" w:hAnsi="Times New Roman" w:eastAsia="仿宋_GB2312" w:cs="Times New Roman"/>
          <w:sz w:val="28"/>
          <w:szCs w:val="28"/>
        </w:rPr>
      </w:pPr>
    </w:p>
    <w:p w14:paraId="714ACF5E">
      <w:pPr>
        <w:rPr>
          <w:rFonts w:ascii="Times New Roman" w:hAnsi="Times New Roman" w:eastAsia="仿宋_GB2312" w:cs="Times New Roman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336D8A">
    <w:pPr>
      <w:pStyle w:val="6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  <w:lang w:val="zh-CN"/>
      </w:rPr>
      <w:t xml:space="preserve"> </w:t>
    </w:r>
    <w:r>
      <w:rPr>
        <w:rFonts w:ascii="Arial" w:hAnsi="Arial" w:cs="Arial"/>
        <w:b/>
        <w:sz w:val="24"/>
        <w:szCs w:val="24"/>
      </w:rPr>
      <w:fldChar w:fldCharType="begin"/>
    </w:r>
    <w:r>
      <w:rPr>
        <w:rFonts w:ascii="Arial" w:hAnsi="Arial" w:cs="Arial"/>
        <w:b/>
        <w:sz w:val="24"/>
        <w:szCs w:val="24"/>
      </w:rPr>
      <w:instrText xml:space="preserve">PAGE</w:instrText>
    </w:r>
    <w:r>
      <w:rPr>
        <w:rFonts w:ascii="Arial" w:hAnsi="Arial" w:cs="Arial"/>
        <w:b/>
        <w:sz w:val="24"/>
        <w:szCs w:val="24"/>
      </w:rPr>
      <w:fldChar w:fldCharType="separate"/>
    </w:r>
    <w:r>
      <w:rPr>
        <w:rFonts w:ascii="Arial" w:hAnsi="Arial" w:cs="Arial"/>
        <w:b/>
        <w:sz w:val="24"/>
        <w:szCs w:val="24"/>
      </w:rPr>
      <w:t>7</w:t>
    </w:r>
    <w:r>
      <w:rPr>
        <w:rFonts w:ascii="Arial" w:hAnsi="Arial" w:cs="Arial"/>
        <w:b/>
        <w:sz w:val="24"/>
        <w:szCs w:val="24"/>
      </w:rPr>
      <w:fldChar w:fldCharType="end"/>
    </w:r>
    <w:r>
      <w:rPr>
        <w:rFonts w:ascii="Arial" w:hAnsi="Arial" w:cs="Arial"/>
        <w:sz w:val="24"/>
        <w:szCs w:val="24"/>
        <w:lang w:val="zh-CN"/>
      </w:rPr>
      <w:t xml:space="preserve"> / </w:t>
    </w:r>
    <w:r>
      <w:rPr>
        <w:rFonts w:ascii="Arial" w:hAnsi="Arial" w:cs="Arial"/>
        <w:b/>
        <w:sz w:val="24"/>
        <w:szCs w:val="24"/>
      </w:rPr>
      <w:fldChar w:fldCharType="begin"/>
    </w:r>
    <w:r>
      <w:rPr>
        <w:rFonts w:ascii="Arial" w:hAnsi="Arial" w:cs="Arial"/>
        <w:b/>
        <w:sz w:val="24"/>
        <w:szCs w:val="24"/>
      </w:rPr>
      <w:instrText xml:space="preserve">NUMPAGES</w:instrText>
    </w:r>
    <w:r>
      <w:rPr>
        <w:rFonts w:ascii="Arial" w:hAnsi="Arial" w:cs="Arial"/>
        <w:b/>
        <w:sz w:val="24"/>
        <w:szCs w:val="24"/>
      </w:rPr>
      <w:fldChar w:fldCharType="separate"/>
    </w:r>
    <w:r>
      <w:rPr>
        <w:rFonts w:ascii="Arial" w:hAnsi="Arial" w:cs="Arial"/>
        <w:b/>
        <w:sz w:val="24"/>
        <w:szCs w:val="24"/>
      </w:rPr>
      <w:t>7</w:t>
    </w:r>
    <w:r>
      <w:rPr>
        <w:rFonts w:ascii="Arial" w:hAnsi="Arial" w:cs="Arial"/>
        <w:b/>
        <w:sz w:val="24"/>
        <w:szCs w:val="24"/>
      </w:rPr>
      <w:fldChar w:fldCharType="end"/>
    </w:r>
  </w:p>
  <w:p w14:paraId="7FA80D6D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Q3YWU3NmY0NGE0YTA2ODMzNzQ1YTRmZGRkOWQxYTEifQ=="/>
  </w:docVars>
  <w:rsids>
    <w:rsidRoot w:val="00000000"/>
    <w:rsid w:val="13FF37F9"/>
    <w:rsid w:val="3743240F"/>
    <w:rsid w:val="456F40E5"/>
    <w:rsid w:val="486621DF"/>
    <w:rsid w:val="4BFF309B"/>
    <w:rsid w:val="501D0DA2"/>
    <w:rsid w:val="5C0A4A39"/>
    <w:rsid w:val="5F9D4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7"/>
    <w:qFormat/>
    <w:uiPriority w:val="9"/>
    <w:pPr>
      <w:keepNext/>
      <w:keepLines/>
      <w:widowControl/>
      <w:spacing w:before="260" w:after="260" w:line="416" w:lineRule="atLeast"/>
      <w:ind w:firstLine="200" w:firstLineChars="200"/>
      <w:outlineLvl w:val="1"/>
    </w:pPr>
    <w:rPr>
      <w:rFonts w:ascii="Calibri Light" w:hAnsi="Calibri Light" w:eastAsia="宋体" w:cs="宋体"/>
      <w:b/>
      <w:bCs/>
      <w:sz w:val="32"/>
      <w:szCs w:val="32"/>
    </w:rPr>
  </w:style>
  <w:style w:type="character" w:default="1" w:styleId="11">
    <w:name w:val="Default Paragraph Font"/>
    <w:qFormat/>
    <w:uiPriority w:val="1"/>
  </w:style>
  <w:style w:type="table" w:default="1" w:styleId="9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a heading"/>
    <w:basedOn w:val="1"/>
    <w:next w:val="1"/>
    <w:qFormat/>
    <w:uiPriority w:val="99"/>
    <w:pPr>
      <w:spacing w:before="120"/>
    </w:pPr>
    <w:rPr>
      <w:rFonts w:ascii="Arial" w:hAnsi="Arial"/>
      <w:sz w:val="24"/>
    </w:rPr>
  </w:style>
  <w:style w:type="paragraph" w:styleId="4">
    <w:name w:val="Body Text"/>
    <w:basedOn w:val="1"/>
    <w:link w:val="15"/>
    <w:qFormat/>
    <w:uiPriority w:val="0"/>
    <w:pPr>
      <w:jc w:val="left"/>
    </w:pPr>
    <w:rPr>
      <w:rFonts w:ascii="Times New Roman" w:hAnsi="Times New Roman" w:eastAsia="宋体" w:cs="Times New Roman"/>
      <w:sz w:val="20"/>
      <w:szCs w:val="20"/>
    </w:rPr>
  </w:style>
  <w:style w:type="paragraph" w:styleId="5">
    <w:name w:val="Balloon Text"/>
    <w:basedOn w:val="1"/>
    <w:link w:val="16"/>
    <w:qFormat/>
    <w:uiPriority w:val="99"/>
    <w:rPr>
      <w:sz w:val="18"/>
      <w:szCs w:val="18"/>
    </w:rPr>
  </w:style>
  <w:style w:type="paragraph" w:styleId="6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22"/>
    <w:rPr>
      <w:b/>
    </w:rPr>
  </w:style>
  <w:style w:type="character" w:customStyle="1" w:styleId="13">
    <w:name w:val="页眉 Char"/>
    <w:basedOn w:val="11"/>
    <w:link w:val="7"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6"/>
    <w:qFormat/>
    <w:uiPriority w:val="99"/>
    <w:rPr>
      <w:sz w:val="18"/>
      <w:szCs w:val="18"/>
    </w:rPr>
  </w:style>
  <w:style w:type="character" w:customStyle="1" w:styleId="15">
    <w:name w:val="正文文本 Char"/>
    <w:basedOn w:val="11"/>
    <w:link w:val="4"/>
    <w:qFormat/>
    <w:uiPriority w:val="0"/>
    <w:rPr>
      <w:rFonts w:ascii="Times New Roman" w:hAnsi="Times New Roman" w:eastAsia="宋体" w:cs="Times New Roman"/>
      <w:sz w:val="20"/>
      <w:szCs w:val="20"/>
    </w:rPr>
  </w:style>
  <w:style w:type="character" w:customStyle="1" w:styleId="16">
    <w:name w:val="批注框文本 Char"/>
    <w:basedOn w:val="11"/>
    <w:link w:val="5"/>
    <w:qFormat/>
    <w:uiPriority w:val="99"/>
    <w:rPr>
      <w:sz w:val="18"/>
      <w:szCs w:val="18"/>
    </w:rPr>
  </w:style>
  <w:style w:type="character" w:customStyle="1" w:styleId="17">
    <w:name w:val="标题 2 Char"/>
    <w:basedOn w:val="11"/>
    <w:link w:val="2"/>
    <w:qFormat/>
    <w:uiPriority w:val="9"/>
    <w:rPr>
      <w:rFonts w:ascii="Calibri Light" w:hAnsi="Calibri Light" w:eastAsia="宋体" w:cs="宋体"/>
      <w:b/>
      <w:bCs/>
      <w:kern w:val="2"/>
      <w:sz w:val="32"/>
      <w:szCs w:val="32"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  <w:style w:type="paragraph" w:customStyle="1" w:styleId="19">
    <w:name w:val="Char"/>
    <w:basedOn w:val="1"/>
    <w:qFormat/>
    <w:uiPriority w:val="0"/>
    <w:pPr>
      <w:widowControl/>
      <w:spacing w:line="400" w:lineRule="exact"/>
      <w:ind w:firstLine="480" w:firstLineChars="200"/>
      <w:jc w:val="center"/>
    </w:pPr>
    <w:rPr>
      <w:rFonts w:ascii="Times New Roman" w:hAnsi="Times New Roman" w:eastAsia="宋体" w:cs="Times New Roman"/>
      <w:sz w:val="24"/>
    </w:rPr>
  </w:style>
  <w:style w:type="paragraph" w:customStyle="1" w:styleId="20">
    <w:name w:val="列表段落1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0"/>
    </w:rPr>
  </w:style>
  <w:style w:type="paragraph" w:customStyle="1" w:styleId="21">
    <w:name w:val="Char1"/>
    <w:basedOn w:val="1"/>
    <w:qFormat/>
    <w:uiPriority w:val="0"/>
    <w:pPr>
      <w:widowControl/>
      <w:spacing w:line="400" w:lineRule="exact"/>
      <w:ind w:firstLine="480" w:firstLineChars="200"/>
      <w:jc w:val="center"/>
    </w:pPr>
    <w:rPr>
      <w:rFonts w:ascii="Times New Roman" w:hAnsi="Times New Roman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939</Words>
  <Characters>1065</Characters>
  <Paragraphs>126</Paragraphs>
  <TotalTime>3</TotalTime>
  <ScaleCrop>false</ScaleCrop>
  <LinksUpToDate>false</LinksUpToDate>
  <CharactersWithSpaces>1071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2022-09-08T07:57:00Z</dcterms:created>
  <dc:creator>qinxining</dc:creator>
  <cp:lastModifiedBy>Administrator</cp:lastModifiedBy>
  <dcterms:modified xsi:type="dcterms:W3CDTF">2024-11-20T06:48:46Z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0D035DC5CB2C4243B7A8300E6C30C032_13</vt:lpwstr>
  </property>
</Properties>
</file>