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CN"/>
        </w:rPr>
      </w:pPr>
      <w:r>
        <w:rPr>
          <w:rFonts w:hint="eastAsia"/>
          <w:b/>
          <w:sz w:val="28"/>
          <w:lang w:val="en-US" w:eastAsia="zh-CN"/>
        </w:rPr>
        <w:t>眼眶减压术使用高值耗材参数</w:t>
      </w:r>
    </w:p>
    <w:p>
      <w:pPr>
        <w:jc w:val="center"/>
        <w:rPr>
          <w:rFonts w:hint="eastAsia"/>
          <w:b/>
          <w:bCs/>
          <w:sz w:val="28"/>
          <w:szCs w:val="28"/>
          <w:lang w:val="en-US" w:eastAsia="zh-CN"/>
        </w:rPr>
      </w:pPr>
      <w:r>
        <w:rPr>
          <w:rFonts w:hint="eastAsia"/>
          <w:b/>
          <w:bCs/>
          <w:sz w:val="28"/>
          <w:szCs w:val="28"/>
          <w:lang w:val="en-US" w:eastAsia="zh-CN"/>
        </w:rPr>
        <w:t>1金属颌面接骨板参数</w:t>
      </w:r>
    </w:p>
    <w:p>
      <w:pPr>
        <w:jc w:val="both"/>
        <w:rPr>
          <w:rFonts w:hint="eastAsia"/>
          <w:b w:val="0"/>
          <w:bCs w:val="0"/>
          <w:sz w:val="24"/>
          <w:szCs w:val="24"/>
          <w:lang w:val="en-US" w:eastAsia="zh-CN"/>
        </w:rPr>
      </w:pPr>
    </w:p>
    <w:p>
      <w:pPr>
        <w:numPr>
          <w:ilvl w:val="0"/>
          <w:numId w:val="1"/>
        </w:numPr>
        <w:tabs>
          <w:tab w:val="clear" w:pos="312"/>
        </w:tabs>
        <w:ind w:firstLine="480" w:firstLineChars="200"/>
        <w:jc w:val="both"/>
        <w:rPr>
          <w:rFonts w:hint="eastAsia"/>
          <w:b w:val="0"/>
          <w:bCs w:val="0"/>
          <w:sz w:val="24"/>
          <w:szCs w:val="24"/>
          <w:lang w:val="en-US" w:eastAsia="zh-CN"/>
        </w:rPr>
      </w:pPr>
      <w:r>
        <w:rPr>
          <w:rFonts w:hint="eastAsia"/>
          <w:b w:val="0"/>
          <w:bCs w:val="0"/>
          <w:sz w:val="24"/>
          <w:szCs w:val="24"/>
          <w:lang w:val="en-US" w:eastAsia="zh-CN"/>
        </w:rPr>
        <w:t>产品由符合GB/T 13810标准要求的TA3G纯钛材料制成。产品表面有经过阳极氧化着色处理和非阳极氧化处理两种。分为辐照灭菌和非灭菌包装，无菌有效期2年。</w:t>
      </w:r>
    </w:p>
    <w:p>
      <w:pPr>
        <w:numPr>
          <w:ilvl w:val="0"/>
          <w:numId w:val="1"/>
        </w:numPr>
        <w:ind w:firstLine="480" w:firstLineChars="200"/>
        <w:jc w:val="both"/>
        <w:rPr>
          <w:rFonts w:hint="eastAsia"/>
          <w:b w:val="0"/>
          <w:bCs w:val="0"/>
          <w:sz w:val="24"/>
          <w:szCs w:val="24"/>
          <w:lang w:val="en-US" w:eastAsia="zh-CN"/>
        </w:rPr>
      </w:pPr>
      <w:r>
        <w:rPr>
          <w:rFonts w:hint="eastAsia"/>
          <w:b w:val="0"/>
          <w:bCs w:val="0"/>
          <w:sz w:val="24"/>
          <w:szCs w:val="24"/>
          <w:lang w:val="en-US" w:eastAsia="zh-CN"/>
        </w:rPr>
        <w:t>孔数2-30孔，长度6-290mm，宽度5-50mm，厚度0.5-9mm。</w:t>
      </w:r>
    </w:p>
    <w:p>
      <w:pPr>
        <w:numPr>
          <w:ilvl w:val="0"/>
          <w:numId w:val="1"/>
        </w:numPr>
        <w:ind w:firstLine="480" w:firstLineChars="200"/>
        <w:jc w:val="both"/>
        <w:rPr>
          <w:rFonts w:hint="eastAsia"/>
          <w:b w:val="0"/>
          <w:bCs w:val="0"/>
          <w:sz w:val="24"/>
          <w:szCs w:val="24"/>
          <w:lang w:val="en-US" w:eastAsia="zh-CN"/>
        </w:rPr>
      </w:pPr>
      <w:r>
        <w:rPr>
          <w:rFonts w:hint="eastAsia"/>
          <w:b w:val="0"/>
          <w:bCs w:val="0"/>
          <w:sz w:val="24"/>
          <w:szCs w:val="24"/>
          <w:lang w:val="en-US" w:eastAsia="zh-CN"/>
        </w:rPr>
        <w:t>适用于颌面骨折、整形、修复等。在甲状腺相关眼病的手术治疗中起到固定支撑患者颜面部外观的主导作用。</w:t>
      </w:r>
    </w:p>
    <w:p>
      <w:pPr>
        <w:widowControl w:val="0"/>
        <w:numPr>
          <w:ilvl w:val="0"/>
          <w:numId w:val="0"/>
        </w:numPr>
        <w:jc w:val="both"/>
        <w:rPr>
          <w:rFonts w:hint="eastAsia"/>
          <w:b w:val="0"/>
          <w:bCs w:val="0"/>
          <w:sz w:val="24"/>
          <w:szCs w:val="24"/>
          <w:lang w:val="en-US" w:eastAsia="zh-CN"/>
        </w:rPr>
      </w:pPr>
    </w:p>
    <w:p>
      <w:pPr>
        <w:widowControl w:val="0"/>
        <w:numPr>
          <w:ilvl w:val="0"/>
          <w:numId w:val="0"/>
        </w:numPr>
        <w:jc w:val="both"/>
        <w:rPr>
          <w:rFonts w:hint="eastAsia"/>
          <w:b w:val="0"/>
          <w:bCs w:val="0"/>
          <w:sz w:val="24"/>
          <w:szCs w:val="24"/>
          <w:lang w:val="en-US" w:eastAsia="zh-CN"/>
        </w:rPr>
      </w:pPr>
    </w:p>
    <w:p>
      <w:pPr>
        <w:widowControl w:val="0"/>
        <w:numPr>
          <w:ilvl w:val="0"/>
          <w:numId w:val="0"/>
        </w:numPr>
        <w:jc w:val="both"/>
        <w:rPr>
          <w:rFonts w:hint="eastAsia"/>
          <w:b w:val="0"/>
          <w:bCs w:val="0"/>
          <w:sz w:val="24"/>
          <w:szCs w:val="24"/>
          <w:lang w:val="en-US" w:eastAsia="zh-CN"/>
        </w:rPr>
      </w:pPr>
    </w:p>
    <w:p>
      <w:pPr>
        <w:widowControl w:val="0"/>
        <w:numPr>
          <w:ilvl w:val="0"/>
          <w:numId w:val="0"/>
        </w:numPr>
        <w:jc w:val="both"/>
        <w:rPr>
          <w:rFonts w:hint="eastAsia"/>
          <w:b w:val="0"/>
          <w:bCs w:val="0"/>
          <w:sz w:val="24"/>
          <w:szCs w:val="24"/>
          <w:lang w:val="en-US" w:eastAsia="zh-CN"/>
        </w:rPr>
      </w:pPr>
    </w:p>
    <w:p>
      <w:pPr>
        <w:widowControl w:val="0"/>
        <w:numPr>
          <w:ilvl w:val="0"/>
          <w:numId w:val="0"/>
        </w:numPr>
        <w:jc w:val="both"/>
        <w:rPr>
          <w:rFonts w:hint="eastAsia"/>
          <w:b w:val="0"/>
          <w:bCs w:val="0"/>
          <w:sz w:val="24"/>
          <w:szCs w:val="24"/>
          <w:lang w:val="en-US" w:eastAsia="zh-CN"/>
        </w:rPr>
      </w:pPr>
    </w:p>
    <w:p>
      <w:pPr>
        <w:widowControl w:val="0"/>
        <w:numPr>
          <w:ilvl w:val="0"/>
          <w:numId w:val="0"/>
        </w:numPr>
        <w:jc w:val="both"/>
        <w:rPr>
          <w:rFonts w:hint="eastAsia"/>
          <w:b w:val="0"/>
          <w:bCs w:val="0"/>
          <w:sz w:val="24"/>
          <w:szCs w:val="24"/>
          <w:lang w:val="en-US" w:eastAsia="zh-CN"/>
        </w:rPr>
      </w:pPr>
    </w:p>
    <w:p>
      <w:pPr>
        <w:widowControl w:val="0"/>
        <w:numPr>
          <w:ilvl w:val="0"/>
          <w:numId w:val="0"/>
        </w:numPr>
        <w:jc w:val="both"/>
        <w:rPr>
          <w:rFonts w:hint="eastAsia"/>
          <w:b w:val="0"/>
          <w:bCs w:val="0"/>
          <w:sz w:val="24"/>
          <w:szCs w:val="24"/>
          <w:lang w:val="en-US" w:eastAsia="zh-CN"/>
        </w:rPr>
      </w:pPr>
    </w:p>
    <w:p>
      <w:pPr>
        <w:widowControl w:val="0"/>
        <w:numPr>
          <w:ilvl w:val="0"/>
          <w:numId w:val="0"/>
        </w:numPr>
        <w:jc w:val="both"/>
        <w:rPr>
          <w:rFonts w:hint="eastAsia"/>
          <w:b w:val="0"/>
          <w:bCs w:val="0"/>
          <w:sz w:val="24"/>
          <w:szCs w:val="24"/>
          <w:lang w:val="en-US" w:eastAsia="zh-CN"/>
        </w:rPr>
      </w:pPr>
    </w:p>
    <w:p>
      <w:pPr>
        <w:widowControl w:val="0"/>
        <w:numPr>
          <w:ilvl w:val="0"/>
          <w:numId w:val="0"/>
        </w:numPr>
        <w:jc w:val="both"/>
        <w:rPr>
          <w:rFonts w:hint="eastAsia"/>
          <w:b w:val="0"/>
          <w:bCs w:val="0"/>
          <w:sz w:val="24"/>
          <w:szCs w:val="24"/>
          <w:lang w:val="en-US" w:eastAsia="zh-CN"/>
        </w:rPr>
      </w:pP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 xml:space="preserve">                        2</w:t>
      </w:r>
      <w:bookmarkStart w:id="0" w:name="_GoBack"/>
      <w:bookmarkEnd w:id="0"/>
      <w:r>
        <w:rPr>
          <w:rFonts w:hint="eastAsia"/>
          <w:b/>
          <w:bCs/>
          <w:sz w:val="28"/>
          <w:szCs w:val="28"/>
          <w:lang w:val="en-US" w:eastAsia="zh-CN"/>
        </w:rPr>
        <w:t>金属颅、颌面接骨螺钉</w:t>
      </w:r>
    </w:p>
    <w:p>
      <w:pPr>
        <w:widowControl w:val="0"/>
        <w:numPr>
          <w:ilvl w:val="0"/>
          <w:numId w:val="0"/>
        </w:numPr>
        <w:jc w:val="both"/>
        <w:rPr>
          <w:rFonts w:hint="eastAsia"/>
          <w:b/>
          <w:bCs/>
          <w:sz w:val="28"/>
          <w:szCs w:val="28"/>
          <w:lang w:val="en-US" w:eastAsia="zh-CN"/>
        </w:rPr>
      </w:pPr>
      <w:r>
        <w:rPr>
          <w:rFonts w:hint="eastAsia"/>
          <w:b/>
          <w:bCs/>
          <w:sz w:val="28"/>
          <w:szCs w:val="28"/>
          <w:lang w:val="en-US" w:eastAsia="zh-CN"/>
        </w:rPr>
        <w:t xml:space="preserve">   </w:t>
      </w:r>
    </w:p>
    <w:p>
      <w:pPr>
        <w:numPr>
          <w:ilvl w:val="0"/>
          <w:numId w:val="2"/>
        </w:numPr>
        <w:ind w:firstLine="720" w:firstLineChars="300"/>
        <w:jc w:val="both"/>
        <w:rPr>
          <w:rFonts w:hint="eastAsia"/>
          <w:b w:val="0"/>
          <w:bCs w:val="0"/>
          <w:sz w:val="24"/>
          <w:szCs w:val="24"/>
          <w:lang w:val="en-US" w:eastAsia="zh-CN"/>
        </w:rPr>
      </w:pPr>
      <w:r>
        <w:rPr>
          <w:rFonts w:hint="eastAsia"/>
          <w:b w:val="0"/>
          <w:bCs w:val="0"/>
          <w:sz w:val="24"/>
          <w:szCs w:val="24"/>
          <w:lang w:val="en-US" w:eastAsia="zh-CN"/>
        </w:rPr>
        <w:t xml:space="preserve"> 产品由符合GB/T 13810标准要求的TA3G纯钛材料制成。产品表面有经过阳极氧化着色处理和非阳极氧化处理两种。分为辐照灭菌和非灭菌包装，无菌有效期2年。</w:t>
      </w:r>
    </w:p>
    <w:p>
      <w:pPr>
        <w:numPr>
          <w:ilvl w:val="0"/>
          <w:numId w:val="2"/>
        </w:numPr>
        <w:ind w:left="0" w:leftChars="0" w:firstLine="720" w:firstLineChars="300"/>
        <w:jc w:val="both"/>
        <w:rPr>
          <w:rFonts w:hint="eastAsia"/>
          <w:b w:val="0"/>
          <w:bCs w:val="0"/>
          <w:sz w:val="24"/>
          <w:szCs w:val="24"/>
          <w:lang w:val="en-US" w:eastAsia="zh-CN"/>
        </w:rPr>
      </w:pPr>
      <w:r>
        <w:rPr>
          <w:rFonts w:hint="eastAsia"/>
          <w:b w:val="0"/>
          <w:bCs w:val="0"/>
          <w:sz w:val="24"/>
          <w:szCs w:val="24"/>
          <w:lang w:val="en-US" w:eastAsia="zh-CN"/>
        </w:rPr>
        <w:t xml:space="preserve"> 直径1.5-4mm，长度3-20mm。</w:t>
      </w:r>
    </w:p>
    <w:p>
      <w:pPr>
        <w:numPr>
          <w:ilvl w:val="0"/>
          <w:numId w:val="0"/>
        </w:numPr>
        <w:ind w:firstLine="720" w:firstLineChars="300"/>
        <w:jc w:val="both"/>
        <w:rPr>
          <w:rFonts w:hint="eastAsia"/>
          <w:b w:val="0"/>
          <w:bCs w:val="0"/>
          <w:sz w:val="24"/>
          <w:szCs w:val="24"/>
          <w:lang w:val="en-US" w:eastAsia="zh-CN"/>
        </w:rPr>
      </w:pPr>
      <w:r>
        <w:rPr>
          <w:rFonts w:hint="eastAsia"/>
          <w:b w:val="0"/>
          <w:bCs w:val="0"/>
          <w:sz w:val="24"/>
          <w:szCs w:val="24"/>
          <w:lang w:val="en-US" w:eastAsia="zh-CN"/>
        </w:rPr>
        <w:t>3.  适用于颅颌面骨折或矫形固定。在甲状腺相关眼病的手术治疗中起到固定植入物的主导作用。</w:t>
      </w:r>
    </w:p>
    <w:p>
      <w:pPr>
        <w:numPr>
          <w:ilvl w:val="0"/>
          <w:numId w:val="0"/>
        </w:numPr>
        <w:ind w:leftChars="300"/>
        <w:jc w:val="both"/>
        <w:rPr>
          <w:rFonts w:hint="eastAsia"/>
          <w:b w:val="0"/>
          <w:bCs w:val="0"/>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90DB73"/>
    <w:multiLevelType w:val="singleLevel"/>
    <w:tmpl w:val="3790DB73"/>
    <w:lvl w:ilvl="0" w:tentative="0">
      <w:start w:val="1"/>
      <w:numFmt w:val="decimal"/>
      <w:lvlText w:val="%1."/>
      <w:lvlJc w:val="left"/>
      <w:pPr>
        <w:tabs>
          <w:tab w:val="left" w:pos="312"/>
        </w:tabs>
      </w:pPr>
    </w:lvl>
  </w:abstractNum>
  <w:abstractNum w:abstractNumId="1">
    <w:nsid w:val="3AF0B7E6"/>
    <w:multiLevelType w:val="singleLevel"/>
    <w:tmpl w:val="3AF0B7E6"/>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ompat>
    <w:useFELayout/>
    <w:compatSetting w:name="compatibilityMode" w:uri="http://schemas.microsoft.com/office/word" w:val="11"/>
  </w:compat>
  <w:docVars>
    <w:docVar w:name="commondata" w:val="eyJoZGlkIjoiNWM4Y2NhNDUxYzY3NWUxNTcwMTQ1NTkyYzI0OTA0OGMifQ=="/>
  </w:docVars>
  <w:rsids>
    <w:rsidRoot w:val="00000000"/>
    <w:rsid w:val="7D1C1F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semiHidden/>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281</Words>
  <Characters>333</Characters>
  <Lines>0</Lines>
  <Paragraphs>0</Paragraphs>
  <TotalTime>0</TotalTime>
  <ScaleCrop>false</ScaleCrop>
  <LinksUpToDate>false</LinksUpToDate>
  <CharactersWithSpaces>366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2023-05-23T03:37:16Z</dcterms:created>
  <dc:creator>紫贝壳</dc:creator>
  <cp:lastModifiedBy>紫贝壳</cp:lastModifiedBy>
  <dcterms:modified xsi:type="dcterms:W3CDTF">2023-05-23T03:38:03Z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EFD4009ECDCA4D32A91704FC9213333B_12</vt:lpwstr>
  </property>
</Properties>
</file>