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bookmarkStart w:id="11" w:name="_GoBack"/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</w:rPr>
        <w:t>竞争性谈判公告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</w:rPr>
        <w:t xml:space="preserve"> </w:t>
      </w:r>
    </w:p>
    <w:bookmarkEnd w:id="1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大庆市人民医院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屋面防水工程</w:t>
      </w:r>
      <w:r>
        <w:rPr>
          <w:rFonts w:hint="default" w:ascii="Times New Roman" w:hAnsi="Times New Roman" w:eastAsia="宋体" w:cs="Times New Roman"/>
          <w:sz w:val="30"/>
          <w:szCs w:val="30"/>
        </w:rPr>
        <w:t>的潜在供应商应在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大庆市人民医院基建维修科报名参与投标</w:t>
      </w:r>
      <w:r>
        <w:rPr>
          <w:rFonts w:hint="default" w:ascii="Times New Roman" w:hAnsi="Times New Roman" w:eastAsia="宋体" w:cs="Times New Roman"/>
          <w:sz w:val="30"/>
          <w:szCs w:val="30"/>
        </w:rPr>
        <w:t>，并于2022年0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30"/>
          <w:szCs w:val="30"/>
        </w:rPr>
        <w:t>月2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时00分前提交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纸质版标书</w:t>
      </w:r>
      <w:r>
        <w:rPr>
          <w:rFonts w:hint="default" w:ascii="Times New Roman" w:hAnsi="Times New Roman" w:eastAsia="宋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一、</w:t>
      </w:r>
      <w:r>
        <w:rPr>
          <w:rStyle w:val="10"/>
          <w:rFonts w:hint="default" w:ascii="Times New Roman" w:hAnsi="Times New Roman" w:eastAsia="宋体" w:cs="Times New Roman"/>
          <w:color w:val="000000"/>
          <w:sz w:val="30"/>
          <w:szCs w:val="30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bookmarkStart w:id="0" w:name="_Toc14952"/>
      <w:bookmarkStart w:id="1" w:name="_Toc16963"/>
      <w:r>
        <w:rPr>
          <w:rFonts w:hint="default" w:ascii="Times New Roman" w:hAnsi="Times New Roman" w:eastAsia="宋体" w:cs="Times New Roman"/>
          <w:sz w:val="30"/>
          <w:szCs w:val="30"/>
        </w:rPr>
        <w:t>1、项目编号</w:t>
      </w:r>
      <w:bookmarkEnd w:id="0"/>
      <w:bookmarkEnd w:id="1"/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bookmarkStart w:id="2" w:name="_Toc14517"/>
      <w:bookmarkStart w:id="3" w:name="_Toc10451"/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RMYY_JJ_001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2、项目名称</w:t>
      </w:r>
      <w:bookmarkEnd w:id="2"/>
      <w:bookmarkEnd w:id="3"/>
      <w:r>
        <w:rPr>
          <w:rFonts w:hint="default" w:ascii="Times New Roman" w:hAnsi="Times New Roman" w:eastAsia="宋体" w:cs="Times New Roman"/>
          <w:sz w:val="30"/>
          <w:szCs w:val="30"/>
        </w:rPr>
        <w:t>：大庆市人民医院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屋面防水工程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3、采购方式：竞争性谈判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，多轮报价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bookmarkStart w:id="4" w:name="_Toc2781"/>
      <w:bookmarkStart w:id="5" w:name="_Toc22823"/>
      <w:r>
        <w:rPr>
          <w:rFonts w:hint="default" w:ascii="Times New Roman" w:hAnsi="Times New Roman" w:eastAsia="宋体" w:cs="Times New Roman"/>
          <w:sz w:val="30"/>
          <w:szCs w:val="30"/>
        </w:rPr>
        <w:t>4、</w:t>
      </w:r>
      <w:bookmarkEnd w:id="4"/>
      <w:bookmarkEnd w:id="5"/>
      <w:r>
        <w:rPr>
          <w:rFonts w:hint="default" w:ascii="Times New Roman" w:hAnsi="Times New Roman" w:eastAsia="宋体" w:cs="Times New Roman"/>
          <w:sz w:val="30"/>
          <w:szCs w:val="30"/>
        </w:rPr>
        <w:t>招标控制价：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565000元人民币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5、工程概况：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大庆市人民屋面防水工程是对感染性疾病楼屋面进行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卷材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防水施工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结构层、女儿墙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修复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施工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、安全防护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措施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等内容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，感染性疾病楼建筑面积为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8835.55平方米，本项目屋面防水施工约3000㎡，防水施工做法为：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（1）20mm厚水泥砂浆找平层：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G200g/㎡（隔气专用）SBC复合防水卷材；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20mm厚挤塑板，两层错峰铺设保温层；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最薄处30mm厚LC5.0轻集料混凝土3%找坡；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20厚1:3水泥砂浆找平层；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3+3厚双层SBS改性沥青防水卷材；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涂料粒料保护层（与原人民医院屋面防水材料及颜色保持一致）。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6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施工主要范围包括：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四层以四层以土屋面20厚1:3水泥砂浆找平层，3+3厚双层SBS改性沥青防水卷材（转角处附加一层卷材），涂料粒料保护层，女儿墙防水上返0.55m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三层屋面（设备间、风机房、棱梯间）20厚1:3水泥砂浆找平层，3+3厚双层SBS改性沥青防水卷材（转角处附加一层卷材），涂料粒料保护层，女儿墙防水上返0.52m；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二层屋面20厚1:3水泥砂浆找平层，3+3厚双层SBS改性沥青防水卷材（转角处附加一层卷材），涂料粒料保护层，女儿墙上返卷材0.58m；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一层屋面21-25轴交J-R做50%面积轻集料混凝土至主体结构层，100%面积20厚1:3水泥砂浆找平层，100%面积3+3厚双层SBS改性沥青防水卷材（转角处附加一层卷材），100%面积涂料粒料保护层，一层其他屋面结构层以上未做任何屋面做法，需全部完善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屋面排气孔根据图集12J201-A21 间距6m  每36平方米设置一个排气孔；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所有屋面外围搭设安全网围挡，高度不小于1.5m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陶粒砌块墙墙面补缺；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机房外墙上反抹灰；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52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女儿墙内侧有保温处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抹灰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须知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本项目工期短、任务重，施工现场情况复杂，需供应商踏勘现场，了解施工重点难点并提出解决方案；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供应商需要无条件配合建设单位对于防疫防控的相关要求；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供应商需考虑材料垂直运输及现场材料堆放问题；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供应商需做好成品保护，如因供应商施工导致其他分部分项工程出现损坏或损失，由供应商全权负责；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、服务期限：签订合同后 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0日内完成所有服务内容。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</w:rPr>
        <w:t>、服务地点：采购人指定地点。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  <w:lang w:val="en-US" w:eastAsia="zh-CN"/>
        </w:rPr>
        <w:t>以上工作内容完成质量必须达到施工验收标准，符合甲方需求；安全网搭设必须满足相关主管部门搭设要求及安全标准，对屋面部分施工过程中所遇到的修补及完善等因素，必须达到施工验收标准且需自行考虑全面，不再另行计取费用，保质、保量完成所有屋面施工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10、付款方式：在合同中约定。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11、本项目不接受联合体。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12、响应防疫要求，不接受大庆市以外的供应商参与投标。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6" w:name="_Toc18416799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1、满足《中华人民共和国政府采购法》第二十二条规定；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bookmarkStart w:id="7" w:name="_Toc28359014"/>
      <w:bookmarkEnd w:id="7"/>
      <w:bookmarkStart w:id="8" w:name="_Toc28359091"/>
      <w:r>
        <w:rPr>
          <w:rFonts w:hint="default" w:ascii="Times New Roman" w:hAnsi="Times New Roman" w:eastAsia="宋体" w:cs="Times New Roman"/>
          <w:sz w:val="30"/>
          <w:szCs w:val="30"/>
        </w:rPr>
        <w:t>2、落实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防疫政策</w:t>
      </w:r>
      <w:r>
        <w:rPr>
          <w:rFonts w:hint="default" w:ascii="Times New Roman" w:hAnsi="Times New Roman" w:eastAsia="宋体" w:cs="Times New Roman"/>
          <w:sz w:val="30"/>
          <w:szCs w:val="30"/>
        </w:rPr>
        <w:t>需满足的资格要求：</w:t>
      </w:r>
      <w:bookmarkEnd w:id="8"/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供应商须为大庆市内供应商，暂不接受大庆市外供应商参与投标。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3、本项目的特定资格要求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及废标条件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（1）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供应商须具备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有效的营业执照或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企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事业单位法人证书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（具备独立承担法律责任的能力）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（2）供应商须具备行政主管部门核发的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建设工程施工总承包</w:t>
      </w:r>
      <w:r>
        <w:rPr>
          <w:rFonts w:hint="default" w:ascii="Times New Roman" w:hAnsi="Times New Roman" w:eastAsia="宋体" w:cs="Times New Roman"/>
          <w:sz w:val="30"/>
          <w:szCs w:val="30"/>
        </w:rPr>
        <w:t>叁级（含叁级）以上资质证书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及安全许可证；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项目机构人员</w:t>
      </w:r>
      <w:r>
        <w:rPr>
          <w:rFonts w:hint="default" w:ascii="Times New Roman" w:hAnsi="Times New Roman" w:eastAsia="宋体" w:cs="Times New Roman"/>
          <w:sz w:val="30"/>
          <w:szCs w:val="30"/>
        </w:rPr>
        <w:t>要求：项目经理1人，要求具有有效的贰级及以上注册建造师证书及安全生产考核证书，供应商须提供磋商前连续3个月为本项目项目经理缴纳社保的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；技术负责人1人，具有工程建设类注册执业证或职称证；施工员1人，具有有效的岗位证或工程建设类注册执业证或职称证、质量员1人，具有有效的岗位证或工程建设类注册执业证或职称证；安全员1人，具有安全生产考核合格证。响应文件中需提供项目经理证件，其它项目部人员只需提供项目机构人员配置表，成交后由采购人核定。项目机构成员为本单位在职员工，提供项目机构成员为均为本单位在职员工的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，格式自拟，加盖供应商公章，如有退休人员，需在承诺中说明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。为响应防疫政策，所有项目机构成员均应为大庆本地人员，无外来人员。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（4）</w:t>
      </w:r>
      <w:bookmarkStart w:id="9" w:name="_Toc35393800"/>
      <w:bookmarkEnd w:id="9"/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与子公司，不得同时参加同一标段投标或者未划分标段的同一招标项目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）供应商未被“信用中国”网站、“中国政府采购网”网站列入失信被执行人、重大税收违法案件当事人名单、政府采购严重违法失信行为记录名单。查询网址：信用中国(http://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"http://www.creditchina.gov.cn/"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www.creditchina.gov.cn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)、中国政府采购网：（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"http://www.ccgp.gov.cn/cr/list"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http://www.ccgp.gov.cn/cr/list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）（截图时间在公告发布时间后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6</w:t>
      </w:r>
      <w:r>
        <w:rPr>
          <w:rFonts w:hint="default" w:ascii="Times New Roman" w:hAnsi="Times New Roman" w:eastAsia="宋体" w:cs="Times New Roman"/>
          <w:sz w:val="30"/>
          <w:szCs w:val="30"/>
        </w:rPr>
        <w:t>）单位负责人为同一人或者存在直接控股、管理关系的不同供应商，不得参加同一合同项下的政府采购活动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（8）因现场实际情况复杂，施工困难较多，潜在供应商必须经过现场踏勘，踏勘后前往大庆市人民医院基建维修科处签订踏勘记录，如未经过踏勘，不得参加投标。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（9）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潜在供应商须提供可行的安全防护措施计划，须针对现场实际情况及现状提供安全防护措施计划，如不提供，不得参加投标。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（10）潜在供应商应提供可行的施工组织设计，必须根据现场实际情况，如不符合现场情况，与本工程无关，则不得参加投标。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（11）本项目不允许进行分包。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投标文件制作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1、标书要求：一本正本、二本副本均加盖公章，装订方式为胶装。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2、参与两项或以上采购项目投标的需各项目独立做标书。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3、标书封面须有以下内容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（1）投标公司全称及正本或副本标识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（2）投标项目名称（和招标公告中的采购项目一致）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（3）投标公司联系人并签字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投标日期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4、标书内首页应为目录及对应页码（目录中的内容顺序应与投标文件所包含的项目一致）。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5、投标文件包含项目：</w:t>
      </w:r>
    </w:p>
    <w:tbl>
      <w:tblPr>
        <w:tblStyle w:val="8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标书内容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封面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报价清单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法定代表人资格证明书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授权委托书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被授权人身份证复印件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资质证书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安全生产许可证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无违法失信行为证明文件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项目经理资格证书及安全生产证书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项目经理连续缴纳社保证明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项目机构人员配置表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本单位职工在职证明承诺书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施工组织设计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安全生产防护措施计划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开户行许可证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质保承诺（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5年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3、标书递交</w:t>
      </w:r>
      <w:r>
        <w:rPr>
          <w:rFonts w:hint="default" w:ascii="Times New Roman" w:hAnsi="Times New Roman" w:eastAsia="宋体" w:cs="Times New Roman"/>
          <w:sz w:val="30"/>
          <w:szCs w:val="30"/>
        </w:rPr>
        <w:t>时间：2022年0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30"/>
          <w:szCs w:val="30"/>
        </w:rPr>
        <w:t>月2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时00分（节假日不受理）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2、地点：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大庆市人民医院基建维修科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3、方式：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现场送达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注：供应商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须符合大庆市人民医院防疫要求，提供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24小时内核酸证明及其他证明材料，如无法提供则不能参加开标，做废标处理。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10" w:name="_Toc18416803"/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四</w:t>
      </w: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自本公告发布之日起3个工作日。</w:t>
      </w:r>
    </w:p>
    <w:bookmarkEnd w:id="10"/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履约保证金缴纳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中标单位须缴纳履约保证金50000元人民币。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账户名称：大庆市人民医院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开户银行：龙江银行大庆市开发区支行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账号：04010120002000734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1.采购人信息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名 称：大庆市人民医院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地址：大庆开发区建设路213号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联系人：贠铂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联系方式：15776561116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33F11"/>
    <w:multiLevelType w:val="singleLevel"/>
    <w:tmpl w:val="93C33F11"/>
    <w:lvl w:ilvl="0" w:tentative="0">
      <w:start w:val="1"/>
      <w:numFmt w:val="decimal"/>
      <w:suff w:val="nothing"/>
      <w:lvlText w:val="（%1）"/>
      <w:lvlJc w:val="left"/>
      <w:pPr>
        <w:ind w:left="520" w:leftChars="0" w:firstLine="0" w:firstLineChars="0"/>
      </w:pPr>
    </w:lvl>
  </w:abstractNum>
  <w:abstractNum w:abstractNumId="1">
    <w:nsid w:val="D88AD2DA"/>
    <w:multiLevelType w:val="singleLevel"/>
    <w:tmpl w:val="D88AD2DA"/>
    <w:lvl w:ilvl="0" w:tentative="0">
      <w:start w:val="6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4E21FC2C"/>
    <w:multiLevelType w:val="singleLevel"/>
    <w:tmpl w:val="4E21FC2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D62BC7D"/>
    <w:multiLevelType w:val="singleLevel"/>
    <w:tmpl w:val="5D62BC7D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6AB5DF09"/>
    <w:multiLevelType w:val="singleLevel"/>
    <w:tmpl w:val="6AB5DF09"/>
    <w:lvl w:ilvl="0" w:tentative="0">
      <w:start w:val="5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spacing w:after="120"/>
    </w:pPr>
    <w:rPr>
      <w:kern w:val="0"/>
    </w:rPr>
  </w:style>
  <w:style w:type="paragraph" w:styleId="3">
    <w:name w:val="Body Text 2"/>
    <w:basedOn w:val="1"/>
    <w:next w:val="4"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4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00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普通正文"/>
    <w:basedOn w:val="1"/>
    <w:qFormat/>
    <w:uiPriority w:val="99"/>
    <w:pPr>
      <w:spacing w:before="120" w:after="120"/>
      <w:ind w:firstLine="480"/>
      <w:jc w:val="left"/>
    </w:pPr>
    <w:rPr>
      <w:rFonts w:ascii="Arial" w:hAnsi="Arial" w:eastAsia="宋体"/>
    </w:rPr>
  </w:style>
  <w:style w:type="paragraph" w:customStyle="1" w:styleId="15">
    <w:name w:val="BodyText1I"/>
    <w:basedOn w:val="1"/>
    <w:qFormat/>
    <w:uiPriority w:val="0"/>
    <w:pPr>
      <w:spacing w:after="120" w:line="500" w:lineRule="exact"/>
      <w:ind w:firstLine="510"/>
    </w:pPr>
    <w:rPr>
      <w:rFonts w:ascii="宋体" w:hAnsi="Times New Roman" w:eastAsia="楷体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404</Words>
  <Characters>2305</Characters>
  <Lines>19</Lines>
  <Paragraphs>5</Paragraphs>
  <TotalTime>41</TotalTime>
  <ScaleCrop>false</ScaleCrop>
  <LinksUpToDate>false</LinksUpToDate>
  <CharactersWithSpaces>2704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2022-03-18T15:07:00Z</dcterms:created>
  <dc:creator>ztb</dc:creator>
  <cp:lastModifiedBy>zxc</cp:lastModifiedBy>
  <cp:lastPrinted>2022-04-20T02:53:20Z</cp:lastPrinted>
  <dcterms:modified xsi:type="dcterms:W3CDTF">2022-04-20T02:57:17Z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7BB0E64F3F4FDD3CE23A346260A6EE5A</vt:lpwstr>
  </property>
</Properties>
</file>