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7892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4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器械科库房采暖改造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项目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器械科库房采暖改造项目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器械科库房采暖改造项目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8、控制价：9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7175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器械科库房采暖改造项目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FF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挖土方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 xml:space="preserve"> 7.2m³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2、回填土方 7.2m³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3、安装直埋式预制保温管DN50  10m</w:t>
                  </w:r>
                </w:p>
                <w:p>
                  <w:pPr>
                    <w:widowControl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4、安装DN50无缝钢管 170m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5、安装DN25无缝钢管 50m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6、焊接DN50法兰阀门2个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7、安装DN25螺纹法兰阀门12个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8、安装DN25螺纹阀门6个（电磁阀）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9、安装DN25螺纹阀门6个（铜Y型）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10、安装DN25螺纹阀门2个（自动排气阀）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11、安装地板辐射采暖（50mm苯板、钢丝网铝箔、耐高温聚乙烯管线、40厚混凝土细石垫）850m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12、安装铜制分（集）水器160×600×120  5个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13、安装铜制分（集）水器340×600×120  1台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14、安装DN150套管30个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15、打眼30个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16、做绝热口 2个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17、管道刷防锈漆2遍（红丹防锈漆）38㎡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18、管道刷防锈漆2遍（白色调和漆）38㎡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19、安装型钢管道支架16个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20、金属结构刷防锈漆2遍（红丹防锈漆）50kg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21、金属结构刷防锈漆2遍（白色调和漆）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22、DN50主管线开口2个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23、采暖调试1次</w:t>
                  </w:r>
                  <w:bookmarkStart w:id="0" w:name="_GoBack"/>
                  <w:bookmarkEnd w:id="0"/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7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28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30C4"/>
    <w:multiLevelType w:val="singleLevel"/>
    <w:tmpl w:val="13743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AD"/>
    <w:rsid w:val="00010396"/>
    <w:rsid w:val="00037E02"/>
    <w:rsid w:val="000F547F"/>
    <w:rsid w:val="00111052"/>
    <w:rsid w:val="00143269"/>
    <w:rsid w:val="002070D5"/>
    <w:rsid w:val="0032378F"/>
    <w:rsid w:val="00332B80"/>
    <w:rsid w:val="004533E1"/>
    <w:rsid w:val="00513B8D"/>
    <w:rsid w:val="00516854"/>
    <w:rsid w:val="005240DF"/>
    <w:rsid w:val="005627BC"/>
    <w:rsid w:val="00582A36"/>
    <w:rsid w:val="005D4103"/>
    <w:rsid w:val="005E0F89"/>
    <w:rsid w:val="00714D3F"/>
    <w:rsid w:val="00813A49"/>
    <w:rsid w:val="008B3E7E"/>
    <w:rsid w:val="008D723A"/>
    <w:rsid w:val="009042B8"/>
    <w:rsid w:val="009143FC"/>
    <w:rsid w:val="00914785"/>
    <w:rsid w:val="009721F0"/>
    <w:rsid w:val="00983F7E"/>
    <w:rsid w:val="00A73CC1"/>
    <w:rsid w:val="00AE2373"/>
    <w:rsid w:val="00B2335B"/>
    <w:rsid w:val="00C5195B"/>
    <w:rsid w:val="00EE57AD"/>
    <w:rsid w:val="00FE62AD"/>
    <w:rsid w:val="06BB07AB"/>
    <w:rsid w:val="107C1A85"/>
    <w:rsid w:val="11550094"/>
    <w:rsid w:val="1BEF349B"/>
    <w:rsid w:val="260420C7"/>
    <w:rsid w:val="3DCD5054"/>
    <w:rsid w:val="3FA72824"/>
    <w:rsid w:val="601714BE"/>
    <w:rsid w:val="6FC2089F"/>
    <w:rsid w:val="7F53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2019-10-21T08:08:00Z</dcterms:created>
  <dc:creator>lenovo</dc:creator>
  <cp:lastModifiedBy>ztb</cp:lastModifiedBy>
  <cp:lastPrinted>2020-05-21T06:56:00Z</cp:lastPrinted>
  <dcterms:modified xsi:type="dcterms:W3CDTF">2020-05-22T01:52:17Z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