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大庆市人民医院院内维修改造工程施工单位招标评分细则</w:t>
      </w:r>
    </w:p>
    <w:p>
      <w:pPr>
        <w:numPr>
          <w:ilvl w:val="0"/>
          <w:numId w:val="1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报价得分（满分30分）</w:t>
      </w:r>
    </w:p>
    <w:tbl>
      <w:tblPr>
        <w:tblStyle w:val="3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080"/>
        <w:gridCol w:w="5355"/>
        <w:gridCol w:w="79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5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报价方式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5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本工程项目商务评分标准为：所有供应商投标报价最低价为基准分，商务得分公式：（基准分/报价）X30=最终商务得分，满分30分。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资质业绩得分（满分30分）</w:t>
      </w:r>
    </w:p>
    <w:tbl>
      <w:tblPr>
        <w:tblStyle w:val="3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40"/>
        <w:gridCol w:w="1065"/>
        <w:gridCol w:w="5370"/>
        <w:gridCol w:w="76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企业资质和业绩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企业资质和企业业绩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在满足基本资质要求下，如投标企业具有消防设施专业承包资质得5分</w:t>
            </w:r>
            <w:r>
              <w:rPr>
                <w:rFonts w:hint="eastAsia" w:ascii="宋体" w:hAnsi="宋体"/>
                <w:szCs w:val="21"/>
              </w:rPr>
              <w:t>。 近三年（20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年1月1日-20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年12月31日）投标企业如完成</w:t>
            </w:r>
            <w:r>
              <w:rPr>
                <w:rFonts w:hint="eastAsia" w:ascii="宋体" w:hAnsi="宋体"/>
                <w:color w:val="FF0000"/>
                <w:szCs w:val="21"/>
              </w:rPr>
              <w:t>类似的工程项目</w:t>
            </w:r>
            <w:r>
              <w:rPr>
                <w:rFonts w:hint="eastAsia" w:ascii="宋体" w:hAnsi="宋体"/>
                <w:szCs w:val="21"/>
              </w:rPr>
              <w:t>施工类业务，每提供一份业绩得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分，本项最多得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分；（以委托合同一份业绩）  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投标企业如获得国家优质工程奖项（例如：鲁班奖等），每项酌情给分，单个奖项满分5分。本项满分30分。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技术评价得分（满分40分）</w:t>
      </w:r>
    </w:p>
    <w:tbl>
      <w:tblPr>
        <w:tblStyle w:val="3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40"/>
        <w:gridCol w:w="1065"/>
        <w:gridCol w:w="5370"/>
        <w:gridCol w:w="76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技术评审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施工方案</w:t>
            </w:r>
          </w:p>
        </w:tc>
        <w:tc>
          <w:tcPr>
            <w:tcW w:w="53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1、施工方案中主要工序阐述明确、合理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，得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2、制定季节性施工保障方案，方案科学、合理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针对医院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特殊的施工环境有科学合理的安排，得2分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4、有防止环境污染的措施和方案，方案可行，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得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1分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建筑垃圾有科学合理的外运方案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得1分。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6、解决在患者密集、人员流动强、特殊科室环境要求较高的情况下保障施工质量和速度等重难点问题，得2分。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以上六项最高的10分，不提供或方案不合理不得分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施工部署和保障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措施</w:t>
            </w:r>
          </w:p>
        </w:tc>
        <w:tc>
          <w:tcPr>
            <w:tcW w:w="53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1、根据工程特点进行施工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部署、有针对性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2、人员安排合理、岗位人员配备齐全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，得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3、机械设备投入合理，有明确的维护措施，得2分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4、各类主材和辅料齐全、充足，有科学合理的质量保障和节约措施，得2分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5、有科学合理的资金管控方案，得2分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以上五项最高的10分，不提供或方案不合理不得分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特殊环境应对措施和施工现场管理</w:t>
            </w:r>
          </w:p>
        </w:tc>
        <w:tc>
          <w:tcPr>
            <w:tcW w:w="53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1、针对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医院特殊环境有相应应对措施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，得3分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2、施工过程中有防灾、防损措施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方案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科学合理，得3分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3、施工现场服从招标人、监理人管理和安排，设定协调责任人和岗位职责，协调方案全面，有针对性，得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以上三项最高得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分，不提供或方案不合理不得分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安全文明施工及特殊环境施工经验</w:t>
            </w:r>
          </w:p>
        </w:tc>
        <w:tc>
          <w:tcPr>
            <w:tcW w:w="53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科学合理安全文明施工保障措施，得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2、材料、构件堆放位置合理，符合消防要求，得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3、能够应对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特殊环境造成的影响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分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项最高得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分，不提供或不合理不得分。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管理机构配置、工期保障</w:t>
            </w:r>
          </w:p>
        </w:tc>
        <w:tc>
          <w:tcPr>
            <w:tcW w:w="5370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施工管理机构配置合理，部门岗位职责明确，得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分；2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各部门工作制度完整、科学，得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3、工期保障措施可行，针对性强，得2分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项最高得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分，不提供或提供的不合理不得分。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总分100分，按分数从高到低排序，综合得分第一名为中标单位。</w:t>
      </w:r>
    </w:p>
    <w:sectPr>
      <w:pgSz w:w="11906" w:h="16838"/>
      <w:pgMar w:top="620" w:right="866" w:bottom="533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C25C4"/>
    <w:multiLevelType w:val="singleLevel"/>
    <w:tmpl w:val="F3FC2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6879EB"/>
    <w:multiLevelType w:val="singleLevel"/>
    <w:tmpl w:val="0F6879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00CA"/>
    <w:rsid w:val="03B41FFA"/>
    <w:rsid w:val="0DE76893"/>
    <w:rsid w:val="4CB82CFC"/>
    <w:rsid w:val="4FFE7206"/>
    <w:rsid w:val="723100CA"/>
    <w:rsid w:val="7AD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2020-09-08T00:49:00Z</dcterms:created>
  <dc:creator>zxc</dc:creator>
  <cp:lastModifiedBy>cc</cp:lastModifiedBy>
  <cp:lastPrinted>2020-10-09T00:21:00Z</cp:lastPrinted>
  <dcterms:modified xsi:type="dcterms:W3CDTF">2021-01-11T06:27:05Z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